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5" o:spt="75" type="#_x0000_t75" style="height:54.75pt;width:4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</w:t>
      </w:r>
      <w:r>
        <w:rPr>
          <w:caps/>
          <w:sz w:val="28"/>
          <w:szCs w:val="28"/>
        </w:rPr>
        <w:t>бюджетное</w:t>
      </w:r>
      <w:r>
        <w:rPr>
          <w:sz w:val="28"/>
          <w:szCs w:val="28"/>
        </w:rPr>
        <w:t xml:space="preserve"> ОБРАЗОВАТЕЛЬНОЕ УЧРЕЖДЕНИЕ ВЫСШЕГО ОБРАЗОВАНИЯ «ДОНСКОЙ ГОСУДАРСТВЕННЫЙ ТЕХНИЧЕСКИЙ УНИВЕРСИТЕТ» (ДГТУ)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«Транспорт, сервис и эксплуатация»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“Сервис и техническая эксплуатация 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автотранспортных средств”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pStyle w:val="2"/>
        <w:widowControl/>
        <w:spacing w:line="360" w:lineRule="auto"/>
        <w:ind w:left="0" w:right="0" w:firstLine="0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rPr>
          <w:lang w:eastAsia="ar-SA"/>
        </w:rPr>
      </w:pPr>
    </w:p>
    <w:p>
      <w:pPr>
        <w:rPr>
          <w:lang w:eastAsia="ar-SA"/>
        </w:rPr>
      </w:pPr>
    </w:p>
    <w:p>
      <w:pPr>
        <w:rPr>
          <w:lang w:eastAsia="ar-SA"/>
        </w:rPr>
      </w:pPr>
    </w:p>
    <w:p>
      <w:pPr>
        <w:rPr>
          <w:lang w:eastAsia="ar-SA"/>
        </w:rPr>
      </w:pPr>
    </w:p>
    <w:p>
      <w:pPr>
        <w:pStyle w:val="2"/>
        <w:widowControl/>
        <w:spacing w:line="360" w:lineRule="auto"/>
        <w:ind w:left="0" w:right="0" w:firstLine="0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pStyle w:val="2"/>
        <w:widowControl/>
        <w:spacing w:line="360" w:lineRule="auto"/>
        <w:ind w:left="0" w:right="0" w:firstLine="0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caps/>
          <w:sz w:val="28"/>
          <w:szCs w:val="28"/>
        </w:rPr>
        <w:t>МЕТОДИЧЕСКИЕ  УКАЗАНИЯ и контрольные задания.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"ПРОМЫШЛЕННО-ТРАНСПОРТНАЯ ЭКОЛОГИЯ" </w:t>
      </w:r>
    </w:p>
    <w:p>
      <w:pPr>
        <w:pStyle w:val="3"/>
        <w:widowControl/>
        <w:ind w:left="0" w:right="0" w:firstLine="0"/>
        <w:rPr>
          <w:rFonts w:ascii="Times New Roman" w:hAnsi="Times New Roman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3"/>
        <w:widowControl/>
        <w:ind w:left="0" w:right="0" w:firstLine="0"/>
        <w:rPr>
          <w:rFonts w:ascii="Times New Roman" w:hAnsi="Times New Roman" w:cs="Times New Roman"/>
          <w:sz w:val="28"/>
          <w:szCs w:val="28"/>
        </w:rPr>
      </w:pPr>
    </w:p>
    <w:p>
      <w:pPr>
        <w:rPr>
          <w:lang w:eastAsia="ar-SA"/>
        </w:rPr>
      </w:pPr>
    </w:p>
    <w:p>
      <w:pPr>
        <w:rPr>
          <w:lang w:eastAsia="ar-SA"/>
        </w:rPr>
      </w:pPr>
    </w:p>
    <w:p>
      <w:pPr>
        <w:rPr>
          <w:lang w:eastAsia="ar-SA"/>
        </w:rPr>
      </w:pPr>
      <w:bookmarkStart w:id="0" w:name="_GoBack"/>
      <w:bookmarkEnd w:id="0"/>
    </w:p>
    <w:p>
      <w:pPr>
        <w:pStyle w:val="3"/>
        <w:widowControl/>
        <w:ind w:left="0" w:right="0" w:firstLine="0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widowControl/>
        <w:ind w:left="0" w:righ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>
      <w:pPr>
        <w:rPr>
          <w:lang w:eastAsia="ar-SA"/>
        </w:rPr>
      </w:pPr>
    </w:p>
    <w:p>
      <w:pPr>
        <w:pStyle w:val="3"/>
        <w:widowControl/>
        <w:ind w:left="0" w:righ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>
      <w:pPr>
        <w:pStyle w:val="3"/>
        <w:widowControl/>
        <w:ind w:left="0" w:right="0" w:firstLine="0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 w:num="1"/>
          <w:titlePg/>
          <w:docGrid w:linePitch="360" w:charSpace="0"/>
        </w:sect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Ростов-на-Дону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2022</w:t>
      </w:r>
    </w:p>
    <w:p>
      <w:pPr>
        <w:pStyle w:val="5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УДК 656</w:t>
      </w:r>
    </w:p>
    <w:p>
      <w:pPr>
        <w:pStyle w:val="5"/>
        <w:jc w:val="left"/>
        <w:rPr>
          <w:rFonts w:ascii="Tahoma" w:hAnsi="Tahoma" w:cs="Tahoma"/>
          <w:sz w:val="18"/>
          <w:szCs w:val="18"/>
        </w:rPr>
      </w:pPr>
    </w:p>
    <w:p>
      <w:pPr>
        <w:pStyle w:val="5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Составитель: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канд. техн. наук, доцент С.Г. Курень </w:t>
      </w:r>
    </w:p>
    <w:p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</w:t>
      </w:r>
    </w:p>
    <w:p>
      <w:pPr>
        <w:pStyle w:val="5"/>
        <w:jc w:val="left"/>
        <w:rPr>
          <w:rFonts w:ascii="Tahoma" w:hAnsi="Tahoma" w:cs="Tahoma"/>
          <w:sz w:val="18"/>
          <w:szCs w:val="18"/>
        </w:rPr>
      </w:pPr>
    </w:p>
    <w:p>
      <w:pPr>
        <w:pStyle w:val="5"/>
        <w:jc w:val="left"/>
        <w:rPr>
          <w:rFonts w:ascii="Tahoma" w:hAnsi="Tahoma" w:cs="Tahoma"/>
          <w:sz w:val="18"/>
          <w:szCs w:val="18"/>
        </w:rPr>
      </w:pPr>
    </w:p>
    <w:p>
      <w:pPr>
        <w:pStyle w:val="5"/>
        <w:jc w:val="both"/>
        <w:rPr>
          <w:rFonts w:ascii="Tahoma" w:hAnsi="Tahoma" w:cs="Tahoma"/>
          <w:sz w:val="18"/>
          <w:szCs w:val="18"/>
        </w:rPr>
      </w:pPr>
    </w:p>
    <w:p>
      <w:pPr>
        <w:shd w:val="clear" w:color="auto" w:fill="FFFFFF"/>
        <w:spacing w:line="394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Промышленно-транспортная экология. Методические указания и контрольные задания. – Ростов н/Д: Издательский центр ДГТУ, </w:t>
      </w:r>
      <w:r>
        <w:rPr>
          <w:rFonts w:ascii="Tahoma" w:hAnsi="Tahoma" w:cs="Tahoma"/>
          <w:sz w:val="18"/>
          <w:szCs w:val="18"/>
          <w:lang w:val="ru-RU"/>
        </w:rPr>
        <w:t>2022</w:t>
      </w:r>
      <w:r>
        <w:rPr>
          <w:rFonts w:ascii="Tahoma" w:hAnsi="Tahoma" w:cs="Tahoma"/>
          <w:sz w:val="18"/>
          <w:szCs w:val="18"/>
        </w:rPr>
        <w:t xml:space="preserve">. – </w:t>
      </w:r>
    </w:p>
    <w:p>
      <w:pPr>
        <w:shd w:val="clear" w:color="auto" w:fill="FFFFFF"/>
        <w:spacing w:line="394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12 с.</w:t>
      </w:r>
    </w:p>
    <w:p>
      <w:pPr>
        <w:pStyle w:val="5"/>
        <w:ind w:firstLine="709"/>
        <w:jc w:val="both"/>
        <w:rPr>
          <w:rFonts w:ascii="Tahoma" w:hAnsi="Tahoma" w:cs="Tahoma"/>
          <w:sz w:val="18"/>
          <w:szCs w:val="18"/>
        </w:rPr>
      </w:pPr>
    </w:p>
    <w:p>
      <w:pPr>
        <w:pStyle w:val="5"/>
        <w:ind w:firstLine="709"/>
        <w:jc w:val="both"/>
        <w:rPr>
          <w:rFonts w:ascii="Tahoma" w:hAnsi="Tahoma" w:cs="Tahoma"/>
          <w:sz w:val="18"/>
          <w:szCs w:val="18"/>
        </w:rPr>
      </w:pPr>
    </w:p>
    <w:p>
      <w:pPr>
        <w:pStyle w:val="5"/>
        <w:ind w:firstLine="709"/>
        <w:jc w:val="both"/>
        <w:rPr>
          <w:rFonts w:ascii="Tahoma" w:hAnsi="Tahoma" w:cs="Tahoma"/>
          <w:sz w:val="18"/>
          <w:szCs w:val="18"/>
        </w:rPr>
      </w:pPr>
    </w:p>
    <w:p>
      <w:pPr>
        <w:pStyle w:val="5"/>
        <w:ind w:firstLine="709"/>
        <w:jc w:val="both"/>
        <w:rPr>
          <w:rFonts w:ascii="Tahoma" w:hAnsi="Tahoma" w:cs="Tahoma"/>
          <w:sz w:val="18"/>
          <w:szCs w:val="18"/>
        </w:rPr>
      </w:pPr>
    </w:p>
    <w:p>
      <w:pPr>
        <w:pStyle w:val="5"/>
        <w:ind w:firstLine="709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Методические указания по дисциплине «Промышленно-транспортная экология» предназначены для бакалавров всех форм обучения по профилю «Сервис и эксплуатация автотранспортных средств» направления 23.03.03 «Эксплуатация транспортно-технологических машин и комплексов».</w:t>
      </w:r>
    </w:p>
    <w:p>
      <w:pPr>
        <w:pStyle w:val="5"/>
        <w:jc w:val="both"/>
        <w:rPr>
          <w:rFonts w:ascii="Tahoma" w:hAnsi="Tahoma" w:cs="Tahoma"/>
          <w:color w:val="FF0000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Печатается по решению методической комиссии факультета</w:t>
      </w:r>
    </w:p>
    <w:p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«Авиастроение. Транспорт, сервис и эксплуатация»</w:t>
      </w: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Рецензент – канд. техн. наук, доцент Н.С. Донцов</w:t>
      </w: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right"/>
        <w:rPr>
          <w:rFonts w:ascii="Tahoma" w:hAnsi="Tahoma" w:cs="Tahoma"/>
          <w:sz w:val="18"/>
          <w:szCs w:val="18"/>
        </w:rPr>
      </w:pPr>
    </w:p>
    <w:p>
      <w:pPr>
        <w:jc w:val="right"/>
        <w:rPr>
          <w:rFonts w:ascii="Tahoma" w:hAnsi="Tahoma" w:cs="Tahoma"/>
          <w:sz w:val="18"/>
          <w:szCs w:val="18"/>
        </w:rPr>
      </w:pPr>
    </w:p>
    <w:p>
      <w:pPr>
        <w:jc w:val="right"/>
        <w:rPr>
          <w:rFonts w:ascii="Tahoma" w:hAnsi="Tahoma" w:cs="Tahoma"/>
          <w:sz w:val="18"/>
          <w:szCs w:val="18"/>
        </w:rPr>
      </w:pPr>
    </w:p>
    <w:p>
      <w:pPr>
        <w:jc w:val="right"/>
        <w:rPr>
          <w:rFonts w:ascii="Tahoma" w:hAnsi="Tahoma" w:cs="Tahoma"/>
          <w:sz w:val="18"/>
          <w:szCs w:val="18"/>
          <w:lang w:val="ru-RU"/>
        </w:rPr>
      </w:pPr>
      <w:r>
        <w:rPr>
          <w:rFonts w:ascii="Tahoma" w:hAnsi="Tahoma" w:cs="Tahoma"/>
          <w:sz w:val="18"/>
          <w:szCs w:val="18"/>
        </w:rPr>
        <w:sym w:font="Symbol" w:char="F0D3"/>
      </w:r>
      <w:r>
        <w:rPr>
          <w:rFonts w:ascii="Tahoma" w:hAnsi="Tahoma" w:cs="Tahoma"/>
          <w:sz w:val="18"/>
          <w:szCs w:val="18"/>
        </w:rPr>
        <w:t xml:space="preserve"> Издательский центр ДГТУ, </w:t>
      </w:r>
      <w:r>
        <w:rPr>
          <w:rFonts w:ascii="Tahoma" w:hAnsi="Tahoma" w:cs="Tahoma"/>
          <w:sz w:val="18"/>
          <w:szCs w:val="18"/>
          <w:lang w:val="ru-RU"/>
        </w:rPr>
        <w:t>2022</w:t>
      </w:r>
    </w:p>
    <w:p>
      <w:pPr>
        <w:ind w:firstLine="360"/>
        <w:jc w:val="center"/>
        <w:rPr>
          <w:rFonts w:ascii="Tahoma" w:hAnsi="Tahoma" w:cs="Tahoma"/>
          <w:sz w:val="18"/>
          <w:szCs w:val="18"/>
        </w:rPr>
      </w:pPr>
    </w:p>
    <w:p>
      <w:pPr>
        <w:ind w:firstLine="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  <w:r>
        <w:rPr>
          <w:rFonts w:ascii="Tahoma" w:hAnsi="Tahoma" w:cs="Tahoma"/>
          <w:b/>
          <w:sz w:val="18"/>
          <w:szCs w:val="18"/>
        </w:rPr>
        <w:t>1 Цель и задачи дисциплины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Дисциплина «Промышленно- транспортная экология» изучается в 11 семестре студентами заочного обучения по специальности 190603. 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Целью дисциплины являются приобретение знаний в области прикладной промышленно-транспортной экологии.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Задачи дисциплины:</w:t>
      </w:r>
    </w:p>
    <w:p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изучение основных физико-механических процессов при воздействии транспортных средств на окружающую среду;</w:t>
      </w:r>
    </w:p>
    <w:p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ознакомление с различными видами загрязнений окружающей среды, методами и средствами их нормализации;</w:t>
      </w:r>
    </w:p>
    <w:p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освоение методики расчета выбросов загрязняющих веществ на различных участках автообслуживающих предприятий.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</w:p>
    <w:p>
      <w:pPr>
        <w:ind w:firstLine="360"/>
        <w:jc w:val="both"/>
        <w:rPr>
          <w:rFonts w:ascii="Tahoma" w:hAnsi="Tahoma" w:cs="Tahoma"/>
          <w:b/>
          <w:sz w:val="18"/>
          <w:szCs w:val="18"/>
        </w:rPr>
      </w:pPr>
    </w:p>
    <w:p>
      <w:pPr>
        <w:ind w:firstLine="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2.    Требования к содержанию  и оформлению контрольной работы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Изучение дисциплины предполагает овладение материалом в соответствии с программой и выполнение одной контрольной работы с использованием рекомендуемой литературы.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</w:rPr>
        <w:t>Для выполнения контрольной работы студент должен ответить на три вопроса (т.е.  по одному из каждого задания) и решить три задачи</w:t>
      </w:r>
      <w:r>
        <w:rPr>
          <w:rFonts w:ascii="Tahoma" w:hAnsi="Tahoma" w:cs="Tahoma"/>
          <w:sz w:val="18"/>
          <w:szCs w:val="18"/>
        </w:rPr>
        <w:t xml:space="preserve">. </w:t>
      </w:r>
    </w:p>
    <w:p>
      <w:pPr>
        <w:ind w:firstLine="36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Последняя цифра зачетной книжки определяет номер вопроса из каждого задания. При решении задач индекс «№ ЗК» означает две последние цифры номера зачетной книжки. В таблицах индекс ПНСГ означает «Порядковый номер из списка группы» (уточняется в деканате или у преподавателя).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Объем контрольной работы 5-7 страниц рукописного текста на листах формата А4 в соответствии с требованиями ЕСКД.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Структура работы должна включать:  титульный лист установленной формы, содержание,  ответы на поставленные вопросы, решение задач (исходные данные, методика решений, решение) и список литературы. 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Ответы на поставленные вопросы следует иллюстрировать схемами и графиками.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На каждый из приведенных литературных источников в тексте должны быть ссылки.</w:t>
      </w:r>
    </w:p>
    <w:p>
      <w:pPr>
        <w:ind w:firstLine="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br w:type="page"/>
      </w:r>
      <w:r>
        <w:rPr>
          <w:rFonts w:ascii="Tahoma" w:hAnsi="Tahoma" w:cs="Tahoma"/>
          <w:b/>
          <w:sz w:val="18"/>
          <w:szCs w:val="18"/>
        </w:rPr>
        <w:t>3. Контрольные вопросы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Задание 1.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</w:p>
    <w:p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Воздействие промышленности и транспорта на окружающую природную среду.</w:t>
      </w:r>
    </w:p>
    <w:p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Параметрические (энергетические) процессы транспортных машин: шум и вибрации.</w:t>
      </w:r>
    </w:p>
    <w:p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Ландшафтные нарушения, связанные с автотранспортом.</w:t>
      </w:r>
    </w:p>
    <w:p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Параметрические (энергетические) процессы транспортных машин: электромагнитные и ионизирующие излучения.</w:t>
      </w:r>
    </w:p>
    <w:p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Технологические процессы переработки сырья для автомобильного транспорта как источники вредных выбросов и мероприятия по их нормализации. </w:t>
      </w:r>
    </w:p>
    <w:p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Источники загрязнения окружающей среды при изготовлении транспортных объектов и мероприятия по их нормализации.</w:t>
      </w:r>
    </w:p>
    <w:p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Загрязнение окружающей среды при выполнении транспортной работы и мероприятия по его нормализации.</w:t>
      </w:r>
    </w:p>
    <w:p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Улучшение экологии путем применения альтернативных видов топлива и зарубежный опыт в этом направлении.</w:t>
      </w:r>
    </w:p>
    <w:p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Экологические требования к размещению, проектированию и строительству предприятий автомобильного транспорта.</w:t>
      </w:r>
    </w:p>
    <w:p>
      <w:pPr>
        <w:numPr>
          <w:ilvl w:val="1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 Предмет и задачи экологии. Принципы и методы рационального природопользования.</w:t>
      </w:r>
    </w:p>
    <w:p>
      <w:pPr>
        <w:ind w:left="360"/>
        <w:jc w:val="both"/>
        <w:rPr>
          <w:rFonts w:ascii="Tahoma" w:hAnsi="Tahoma" w:cs="Tahoma"/>
          <w:sz w:val="18"/>
          <w:szCs w:val="18"/>
        </w:rPr>
      </w:pPr>
    </w:p>
    <w:p>
      <w:pPr>
        <w:ind w:left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Задание 2.</w:t>
      </w:r>
    </w:p>
    <w:p>
      <w:pPr>
        <w:ind w:left="360"/>
        <w:jc w:val="both"/>
        <w:rPr>
          <w:rFonts w:ascii="Tahoma" w:hAnsi="Tahoma" w:cs="Tahoma"/>
          <w:sz w:val="18"/>
          <w:szCs w:val="18"/>
        </w:rPr>
      </w:pP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2.1. Источники загрязнения окружающей среды при обслуживании и ремонте объектов транспорта и мероприятия по их нормализации.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2.2. Экологический баланс транспортного средства в жизненном цикле.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2.3. Выбросы вредных веществ, расход топлива, шум  транспортного процесса.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2.4. Выбросы вредных веществ и потребление ресурсов автомобильным парком.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2.5. Дорожная сеть и мероприятия по снижению воздействия на среду совокупности машин и дорожной сети.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2.6. Транспортный процесс и экологически аварийные ситуации на дорогах.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2.7. Распространение и трансформация промышленно-транспортных загрязнений и факторы, влияющие на эти явления. 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2.8. Пути снижения токсичности отработавших газов.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2.9. Снижение шума и вибрации автомобилей.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2.10.Экологические требования к эксплуатации предприятий автомобильного транспорта.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Задание 3.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3.1. Воздействие загрязнений на окружающую среду и обратная реакция.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3.2. Санитарно-гигиеническое и экологическое нормирование промышленного воздействия на окружающую среду.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3.3. Методы и средства оценки загрязнения атмосферного воздуха.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3.4. Методы и средства оценки загрязнения водной среды, почв и растительности.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3.5. Посты контроля транспортного загрязнения окружающей среды.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3.6. Оценка транспортного загрязнения окружающей среды в крупных городах и вблизи автомагистрали.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3.7. Расчетные оценки воздействия транспорта на окружающую среду.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3.8. Международное сотрудничество в области экологии окружающей среды.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3.9. Влияние автомобилей на окружающую среду.</w:t>
      </w:r>
    </w:p>
    <w:p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3.10. Токсичность отработавших газов автомобильных двигателей и средства контроля токсичности.</w:t>
      </w:r>
    </w:p>
    <w:p>
      <w:pPr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</w:p>
    <w:p>
      <w:pPr>
        <w:ind w:firstLine="360"/>
        <w:jc w:val="both"/>
        <w:rPr>
          <w:rFonts w:ascii="Tahoma" w:hAnsi="Tahoma" w:cs="Tahoma"/>
          <w:b/>
          <w:sz w:val="18"/>
          <w:szCs w:val="18"/>
        </w:rPr>
      </w:pPr>
    </w:p>
    <w:p>
      <w:pPr>
        <w:ind w:firstLine="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4. Формулировка задач</w:t>
      </w:r>
    </w:p>
    <w:p>
      <w:pPr>
        <w:ind w:firstLine="360"/>
        <w:jc w:val="both"/>
        <w:rPr>
          <w:rFonts w:ascii="Tahoma" w:hAnsi="Tahoma" w:cs="Tahoma"/>
          <w:b/>
          <w:sz w:val="18"/>
          <w:szCs w:val="18"/>
        </w:rPr>
      </w:pPr>
    </w:p>
    <w:p>
      <w:pPr>
        <w:ind w:firstLine="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Задача 1</w:t>
      </w:r>
      <w:r>
        <w:rPr>
          <w:rFonts w:ascii="Tahoma" w:hAnsi="Tahoma" w:cs="Tahoma"/>
          <w:b/>
          <w:sz w:val="18"/>
          <w:szCs w:val="18"/>
        </w:rPr>
        <w:t>. Расчет выбросов загрязняющих веществ от шиномонтажного участка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 Цель работы: Определение валовых и разовых выбросов пыли, бензина, оксида углерода и сернистого ангидрида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Шиноремонтные работы включают в себя: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шероховку (обработку местных повреждений) камер и покрышек;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промазывание клеем, склеивание и сушку;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вулканизацию.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 Исходные данные: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2.1 </w:t>
      </w:r>
      <w:r>
        <w:rPr>
          <w:rFonts w:ascii="Tahoma" w:hAnsi="Tahoma" w:cs="Tahoma"/>
          <w:sz w:val="18"/>
          <w:szCs w:val="18"/>
          <w:lang w:val="en-US"/>
        </w:rPr>
        <w:t>n</w:t>
      </w:r>
      <w:r>
        <w:rPr>
          <w:rFonts w:ascii="Tahoma" w:hAnsi="Tahoma" w:cs="Tahoma"/>
          <w:sz w:val="18"/>
          <w:szCs w:val="18"/>
        </w:rPr>
        <w:t>=250 – число дней работы шероховального станка в год.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2.2 </w:t>
      </w:r>
      <w:r>
        <w:rPr>
          <w:rFonts w:ascii="Tahoma" w:hAnsi="Tahoma" w:cs="Tahoma"/>
          <w:sz w:val="18"/>
          <w:szCs w:val="18"/>
          <w:lang w:val="en-US"/>
        </w:rPr>
        <w:t>t</w:t>
      </w:r>
      <w:r>
        <w:rPr>
          <w:rFonts w:ascii="Tahoma" w:hAnsi="Tahoma" w:cs="Tahoma"/>
          <w:sz w:val="18"/>
          <w:szCs w:val="18"/>
        </w:rPr>
        <w:t>=3 – среднее «чистое» время работы шероховального станка в день, час.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2.3 В</w:t>
      </w:r>
      <w:r>
        <w:rPr>
          <w:rFonts w:ascii="Tahoma" w:hAnsi="Tahoma" w:cs="Tahoma"/>
          <w:sz w:val="18"/>
          <w:szCs w:val="18"/>
          <w:vertAlign w:val="subscript"/>
        </w:rPr>
        <w:t>б</w:t>
      </w:r>
      <w:r>
        <w:rPr>
          <w:rFonts w:ascii="Tahoma" w:hAnsi="Tahoma" w:cs="Tahoma"/>
          <w:sz w:val="18"/>
          <w:szCs w:val="18"/>
        </w:rPr>
        <w:t xml:space="preserve"> – количество израсходованного бензина в год, кг. (600 для ПНСГ=1…10, 500 для ПНСГ=11…20, 400 для ПНСГ=21…30)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2.4 В</w:t>
      </w:r>
      <w:r>
        <w:rPr>
          <w:rFonts w:ascii="Tahoma" w:hAnsi="Tahoma" w:cs="Tahoma"/>
          <w:sz w:val="18"/>
          <w:szCs w:val="18"/>
          <w:vertAlign w:val="subscript"/>
        </w:rPr>
        <w:t>к</w:t>
      </w:r>
      <w:r>
        <w:rPr>
          <w:rFonts w:ascii="Tahoma" w:hAnsi="Tahoma" w:cs="Tahoma"/>
          <w:sz w:val="18"/>
          <w:szCs w:val="18"/>
        </w:rPr>
        <w:t>=200 – количество израсходованного технического каучука в год, кг.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2.5 В</w:t>
      </w:r>
      <w:r>
        <w:rPr>
          <w:rFonts w:ascii="Tahoma" w:hAnsi="Tahoma" w:cs="Tahoma"/>
          <w:sz w:val="18"/>
          <w:szCs w:val="18"/>
          <w:vertAlign w:val="subscript"/>
        </w:rPr>
        <w:t>р</w:t>
      </w:r>
      <w:r>
        <w:rPr>
          <w:rFonts w:ascii="Tahoma" w:hAnsi="Tahoma" w:cs="Tahoma"/>
          <w:sz w:val="18"/>
          <w:szCs w:val="18"/>
        </w:rPr>
        <w:t>=400 – количество израсходованной вулканизированной резины  в год, кг.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2.6 В'=3 – количество израсходованного бензина в день, кг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2.7 </w:t>
      </w:r>
      <w:r>
        <w:rPr>
          <w:rFonts w:ascii="Tahoma" w:hAnsi="Tahoma" w:cs="Tahoma"/>
          <w:sz w:val="18"/>
          <w:szCs w:val="18"/>
          <w:lang w:val="en-US"/>
        </w:rPr>
        <w:t>t</w:t>
      </w:r>
      <w:r>
        <w:rPr>
          <w:rFonts w:ascii="Tahoma" w:hAnsi="Tahoma" w:cs="Tahoma"/>
          <w:sz w:val="18"/>
          <w:szCs w:val="18"/>
        </w:rPr>
        <w:t>'=3 – время, затрачиваемое на приготовление, нанесение и сушку клея в день, час.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2.8 </w:t>
      </w:r>
      <w:r>
        <w:rPr>
          <w:rFonts w:ascii="Tahoma" w:hAnsi="Tahoma" w:cs="Tahoma"/>
          <w:sz w:val="18"/>
          <w:szCs w:val="18"/>
          <w:lang w:val="en-US"/>
        </w:rPr>
        <w:t>t</w:t>
      </w:r>
      <w:r>
        <w:rPr>
          <w:rFonts w:ascii="Tahoma" w:hAnsi="Tahoma" w:cs="Tahoma"/>
          <w:sz w:val="18"/>
          <w:szCs w:val="18"/>
        </w:rPr>
        <w:t>''=3 – время вулканизации на одном станке в день, час.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2.9 </w:t>
      </w:r>
      <w:r>
        <w:rPr>
          <w:rFonts w:ascii="Tahoma" w:hAnsi="Tahoma" w:cs="Tahoma"/>
          <w:sz w:val="18"/>
          <w:szCs w:val="18"/>
          <w:lang w:val="en-US"/>
        </w:rPr>
        <w:t>n</w:t>
      </w:r>
      <w:r>
        <w:rPr>
          <w:rFonts w:ascii="Tahoma" w:hAnsi="Tahoma" w:cs="Tahoma"/>
          <w:sz w:val="18"/>
          <w:szCs w:val="18"/>
        </w:rPr>
        <w:t>'=250 – число дней работы вулканизационного станка в год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 Методика расчета</w:t>
      </w:r>
    </w:p>
    <w:p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3.1 Валовые выделения пыли:</w:t>
      </w:r>
    </w:p>
    <w:p>
      <w:pPr>
        <w:ind w:firstLine="36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2"/>
          <w:sz w:val="18"/>
          <w:szCs w:val="18"/>
        </w:rPr>
        <w:object>
          <v:shape id="_x0000_i1026" o:spt="75" type="#_x0000_t75" style="height:18.75pt;width:12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13">
            <o:LockedField>false</o:LockedField>
          </o:OLEObject>
        </w:object>
      </w:r>
      <w:r>
        <w:rPr>
          <w:rFonts w:ascii="Tahoma" w:hAnsi="Tahoma" w:cs="Tahoma"/>
          <w:sz w:val="18"/>
          <w:szCs w:val="18"/>
        </w:rPr>
        <w:t>, тонн/год</w:t>
      </w:r>
    </w:p>
    <w:p>
      <w:pPr>
        <w:shd w:val="clear" w:color="auto" w:fill="FFFFFF"/>
        <w:ind w:left="360" w:hanging="36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position w:val="-10"/>
          <w:sz w:val="18"/>
          <w:szCs w:val="18"/>
        </w:rPr>
        <w:object>
          <v:shape id="_x0000_i1027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15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- удельное выделение пыли при работе единицы оборудования (табл. 1.1), г/с.</w:t>
      </w:r>
    </w:p>
    <w:p>
      <w:pPr>
        <w:shd w:val="clear" w:color="auto" w:fill="FFFFFF"/>
        <w:ind w:firstLine="426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Таблица 1.1</w:t>
      </w:r>
    </w:p>
    <w:p>
      <w:pPr>
        <w:shd w:val="clear" w:color="auto" w:fill="FFFFFF"/>
        <w:ind w:firstLine="426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Максимально разовый выброс пыли при шероховке</w:t>
      </w:r>
    </w:p>
    <w:tbl>
      <w:tblPr>
        <w:tblStyle w:val="9"/>
        <w:tblW w:w="64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2151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операции</w:t>
            </w:r>
          </w:p>
        </w:tc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выделяемых загрязняющих веществ</w:t>
            </w:r>
          </w:p>
        </w:tc>
        <w:tc>
          <w:tcPr>
            <w:tcW w:w="2152" w:type="dxa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Удельное выделение при работе единицы оборудования, г/с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Шероховка мест повреждения камер</w:t>
            </w:r>
          </w:p>
        </w:tc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пыль</w:t>
            </w:r>
          </w:p>
        </w:tc>
        <w:tc>
          <w:tcPr>
            <w:tcW w:w="2152" w:type="dxa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0,0226</w:t>
            </w:r>
          </w:p>
        </w:tc>
      </w:tr>
    </w:tbl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3.2 Валовые выбросы бензина, углерода оксида и ангидрида сернистого определяются отдельно по формуле</w:t>
      </w:r>
    </w:p>
    <w:p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position w:val="-12"/>
          <w:sz w:val="18"/>
          <w:szCs w:val="18"/>
        </w:rPr>
        <w:object>
          <v:shape id="_x0000_i1028" o:spt="75" type="#_x0000_t75" style="height:18.75pt;width:86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17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тонн/год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position w:val="-12"/>
          <w:sz w:val="18"/>
          <w:szCs w:val="18"/>
        </w:rPr>
        <w:object>
          <v:shape id="_x0000_i1029" o:spt="75" type="#_x0000_t75" style="height:18.75pt;width:1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19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- удельное выделение загрязняющего вещества, г/кг ремонтных материалов, клея в процессе его нанесения с последующей сушкой и вулканизацией (табл. 1.2);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>
        <w:rPr>
          <w:rFonts w:ascii="Tahoma" w:hAnsi="Tahoma" w:cs="Tahoma"/>
          <w:color w:val="000000"/>
          <w:sz w:val="18"/>
          <w:szCs w:val="18"/>
        </w:rPr>
        <w:t>В – количество израсходованных ремонтных материалов (</w:t>
      </w:r>
      <w:r>
        <w:rPr>
          <w:rFonts w:ascii="Tahoma" w:hAnsi="Tahoma" w:cs="Tahoma"/>
          <w:sz w:val="18"/>
          <w:szCs w:val="18"/>
        </w:rPr>
        <w:t>В</w:t>
      </w:r>
      <w:r>
        <w:rPr>
          <w:rFonts w:ascii="Tahoma" w:hAnsi="Tahoma" w:cs="Tahoma"/>
          <w:sz w:val="18"/>
          <w:szCs w:val="18"/>
          <w:vertAlign w:val="subscript"/>
        </w:rPr>
        <w:t>б</w:t>
      </w:r>
      <w:r>
        <w:rPr>
          <w:rFonts w:ascii="Tahoma" w:hAnsi="Tahoma" w:cs="Tahoma"/>
          <w:sz w:val="18"/>
          <w:szCs w:val="18"/>
        </w:rPr>
        <w:t>, В</w:t>
      </w:r>
      <w:r>
        <w:rPr>
          <w:rFonts w:ascii="Tahoma" w:hAnsi="Tahoma" w:cs="Tahoma"/>
          <w:sz w:val="18"/>
          <w:szCs w:val="18"/>
          <w:vertAlign w:val="subscript"/>
        </w:rPr>
        <w:t>к</w:t>
      </w:r>
      <w:r>
        <w:rPr>
          <w:rFonts w:ascii="Tahoma" w:hAnsi="Tahoma" w:cs="Tahoma"/>
          <w:sz w:val="18"/>
          <w:szCs w:val="18"/>
        </w:rPr>
        <w:t>, В</w:t>
      </w:r>
      <w:r>
        <w:rPr>
          <w:rFonts w:ascii="Tahoma" w:hAnsi="Tahoma" w:cs="Tahoma"/>
          <w:sz w:val="18"/>
          <w:szCs w:val="18"/>
          <w:vertAlign w:val="subscript"/>
        </w:rPr>
        <w:t>р</w:t>
      </w:r>
      <w:r>
        <w:rPr>
          <w:rFonts w:ascii="Tahoma" w:hAnsi="Tahoma" w:cs="Tahoma"/>
          <w:color w:val="000000"/>
          <w:sz w:val="18"/>
          <w:szCs w:val="18"/>
        </w:rPr>
        <w:t>)в год, кг.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3.3 Максимально разовый выброс бензина определяется по формуле</w:t>
      </w:r>
    </w:p>
    <w:p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position w:val="-24"/>
          <w:sz w:val="18"/>
          <w:szCs w:val="18"/>
        </w:rPr>
        <w:object>
          <v:shape id="_x0000_i1030" o:spt="75" type="#_x0000_t75" style="height:33pt;width:59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0" DrawAspect="Content" ObjectID="_1468075729" r:id="rId21">
            <o:LockedField>false</o:LockedField>
          </o:OLEObject>
        </w:object>
      </w:r>
    </w:p>
    <w:p>
      <w:pPr>
        <w:shd w:val="clear" w:color="auto" w:fill="FFFFFF"/>
        <w:ind w:firstLine="426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 w:type="page"/>
      </w:r>
      <w:r>
        <w:rPr>
          <w:rFonts w:ascii="Tahoma" w:hAnsi="Tahoma" w:cs="Tahoma"/>
          <w:color w:val="000000"/>
          <w:sz w:val="18"/>
          <w:szCs w:val="18"/>
        </w:rPr>
        <w:t>Таблица 1.2</w:t>
      </w:r>
    </w:p>
    <w:p>
      <w:pPr>
        <w:shd w:val="clear" w:color="auto" w:fill="FFFFFF"/>
        <w:ind w:firstLine="426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Удельные выделения загрязняющих веществ в процессе ремонта резинотехнических изделий</w:t>
      </w:r>
    </w:p>
    <w:tbl>
      <w:tblPr>
        <w:tblStyle w:val="9"/>
        <w:tblW w:w="6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163"/>
        <w:gridCol w:w="1620"/>
        <w:gridCol w:w="1140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Merge w:val="restart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ПНСГ</w:t>
            </w:r>
          </w:p>
        </w:tc>
        <w:tc>
          <w:tcPr>
            <w:tcW w:w="2163" w:type="dxa"/>
            <w:vMerge w:val="restart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Операция технологического процесса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Применяемые вещества и материалы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Выделяемые загрязняющие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Merge w:val="continue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vMerge w:val="continue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удельное количество, г/кг (</w:t>
            </w:r>
            <w:r>
              <w:rPr>
                <w:rFonts w:ascii="Tahoma" w:hAnsi="Tahoma" w:cs="Tahoma"/>
                <w:color w:val="000000"/>
                <w:position w:val="-12"/>
                <w:sz w:val="18"/>
                <w:szCs w:val="18"/>
              </w:rPr>
              <w:object>
                <v:shape id="_x0000_i1031" o:spt="75" type="#_x0000_t75" style="height:18.75pt;width:17.25pt;" o:ole="t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0" r:id="rId23">
                  <o:LockedField>false</o:LockedField>
                </o:OLEObject>
              </w:objec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2163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приготовление, нанесение и сушка клея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технический каучук, бензин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бензин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2163" w:type="dxa"/>
            <w:vMerge w:val="restart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вулканизация  камер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вулканизированная камерная резина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ангидрид сернистый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2163" w:type="dxa"/>
            <w:vMerge w:val="continue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углерода оксид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0,0018</w:t>
            </w:r>
          </w:p>
        </w:tc>
      </w:tr>
    </w:tbl>
    <w:p>
      <w:p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3.4 Максимально разовый выброс углерода оксида и ангидрида сернистого определяется по формуле</w:t>
      </w:r>
    </w:p>
    <w:p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position w:val="-24"/>
          <w:sz w:val="18"/>
          <w:szCs w:val="18"/>
        </w:rPr>
        <w:object>
          <v:shape id="_x0000_i1032" o:spt="75" type="#_x0000_t75" style="height:33pt;width:71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1" r:id="rId24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г/с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Задача 2. </w:t>
      </w:r>
      <w:r>
        <w:rPr>
          <w:rFonts w:ascii="Tahoma" w:hAnsi="Tahoma" w:cs="Tahoma"/>
          <w:b/>
          <w:color w:val="000000"/>
          <w:sz w:val="18"/>
          <w:szCs w:val="18"/>
        </w:rPr>
        <w:t>Расчет выбросов загрязняющих веществ от аккумуляторного участка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1. Цель работы определение валовых и максимальных разовых выбросов серной кислоты, свинца и паров масла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 Методика расчета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2.1 Валовый выброс серной кислоты подсчитывается по формуле:</w:t>
      </w:r>
    </w:p>
    <w:p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>
        <w:rPr>
          <w:rFonts w:ascii="Tahoma" w:hAnsi="Tahoma" w:cs="Tahoma"/>
          <w:position w:val="-12"/>
          <w:sz w:val="18"/>
          <w:szCs w:val="18"/>
        </w:rPr>
        <w:object>
          <v:shape id="_x0000_i1033" o:spt="75" type="#_x0000_t75" style="height:18.75pt;width:191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3" DrawAspect="Content" ObjectID="_1468075732" r:id="rId26">
            <o:LockedField>false</o:LockedField>
          </o:OLEObject>
        </w:object>
      </w:r>
      <w:r>
        <w:rPr>
          <w:rFonts w:ascii="Tahoma" w:hAnsi="Tahoma" w:cs="Tahoma"/>
          <w:sz w:val="18"/>
          <w:szCs w:val="18"/>
        </w:rPr>
        <w:t xml:space="preserve"> , кг/год          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i/>
          <w:color w:val="000000"/>
          <w:position w:val="-10"/>
          <w:sz w:val="18"/>
          <w:szCs w:val="18"/>
          <w:lang w:val="en-US"/>
        </w:rPr>
        <w:object>
          <v:shape id="_x0000_i103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4" DrawAspect="Content" ObjectID="_1468075733" r:id="rId28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- удельное выделение серной кислоты, принятое равным 1 мг/А.ч.   [1];</w:t>
      </w:r>
    </w:p>
    <w:p>
      <w:pPr>
        <w:shd w:val="clear" w:color="auto" w:fill="FFFFFF"/>
        <w:ind w:left="426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position w:val="-12"/>
          <w:sz w:val="18"/>
          <w:szCs w:val="18"/>
        </w:rPr>
        <w:object>
          <v:shape id="_x0000_i1035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5" DrawAspect="Content" ObjectID="_1468075734" r:id="rId30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- номинальная емкость каждого типа аккумуляторных батарей, имеющихся в АТП, А.ч (</w:t>
      </w:r>
      <w:r>
        <w:rPr>
          <w:rFonts w:ascii="Tahoma" w:hAnsi="Tahoma" w:cs="Tahoma"/>
          <w:position w:val="-12"/>
          <w:sz w:val="18"/>
          <w:szCs w:val="18"/>
        </w:rPr>
        <w:object>
          <v:shape id="_x0000_i1036" o:spt="75" type="#_x0000_t75" style="height:18pt;width:281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32">
            <o:LockedField>false</o:LockedField>
          </o:OLEObject>
        </w:object>
      </w:r>
      <w:r>
        <w:rPr>
          <w:rFonts w:ascii="Tahoma" w:hAnsi="Tahoma" w:cs="Tahoma"/>
          <w:sz w:val="18"/>
          <w:szCs w:val="18"/>
        </w:rPr>
        <w:t>)</w:t>
      </w:r>
    </w:p>
    <w:p>
      <w:pPr>
        <w:shd w:val="clear" w:color="auto" w:fill="FFFFFF"/>
        <w:ind w:left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2"/>
          <w:sz w:val="18"/>
          <w:szCs w:val="18"/>
        </w:rPr>
        <w:object>
          <v:shape id="_x0000_i1037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34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- количество проведенных зарядок батарей соответствующей емкости за год (по данным учета в АТП).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Расчет максимально разового выброса серной кислоты производится исходя из условий, что мощность зарядных устройств используется с максимальной нагрузкой. При этом сначала определяется валовый выброс за сутки:</w:t>
      </w:r>
      <w:r>
        <w:rPr>
          <w:rFonts w:ascii="Tahoma" w:hAnsi="Tahoma" w:cs="Tahoma"/>
          <w:sz w:val="18"/>
          <w:szCs w:val="18"/>
        </w:rPr>
        <w:t xml:space="preserve"> 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</w:t>
      </w:r>
      <w:r>
        <w:rPr>
          <w:rFonts w:ascii="Tahoma" w:hAnsi="Tahoma" w:cs="Tahoma"/>
          <w:position w:val="-14"/>
          <w:sz w:val="18"/>
          <w:szCs w:val="18"/>
        </w:rPr>
        <w:object>
          <v:shape id="_x0000_i1038" o:spt="75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6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, кг/сутки                                   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sz w:val="18"/>
          <w:szCs w:val="18"/>
          <w:lang w:val="en-US"/>
        </w:rPr>
        <w:t>Q</w:t>
      </w:r>
      <w:r>
        <w:rPr>
          <w:rFonts w:ascii="Tahoma" w:hAnsi="Tahoma" w:cs="Tahoma"/>
          <w:color w:val="000000"/>
          <w:sz w:val="18"/>
          <w:szCs w:val="18"/>
        </w:rPr>
        <w:t xml:space="preserve">=60 А.ч - номинальная емкость наиболее емких аккумуляторных батарей, имеющихся в АТП; </w:t>
      </w:r>
    </w:p>
    <w:p>
      <w:pPr>
        <w:shd w:val="clear" w:color="auto" w:fill="FFFFFF"/>
        <w:ind w:left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  <w:lang w:val="en-US"/>
        </w:rPr>
        <w:t>n</w:t>
      </w:r>
      <w:r>
        <w:rPr>
          <w:rFonts w:ascii="Tahoma" w:hAnsi="Tahoma" w:cs="Tahoma"/>
          <w:color w:val="000000"/>
          <w:sz w:val="18"/>
          <w:szCs w:val="18"/>
        </w:rPr>
        <w:t xml:space="preserve"> = 2 - количество вышеуказанных батарей, которые можно одновременно подсоединить к зарядному устройству.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2.2 Максимально разовый выброс серной кислоты определяется по формуле:                      </w:t>
      </w:r>
      <w:r>
        <w:rPr>
          <w:rFonts w:ascii="Tahoma" w:hAnsi="Tahoma" w:cs="Tahoma"/>
          <w:color w:val="000000"/>
          <w:position w:val="-30"/>
          <w:sz w:val="18"/>
          <w:szCs w:val="18"/>
        </w:rPr>
        <w:object>
          <v:shape id="_x0000_i1039" o:spt="75" type="#_x0000_t75" style="height:36.75pt;width:77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9" DrawAspect="Content" ObjectID="_1468075738" r:id="rId38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 xml:space="preserve">, г/с                           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</w:p>
    <w:p>
      <w:pPr>
        <w:shd w:val="clear" w:color="auto" w:fill="FFFFFF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sz w:val="18"/>
          <w:szCs w:val="18"/>
          <w:lang w:val="en-US"/>
        </w:rPr>
        <w:t>m</w:t>
      </w:r>
      <w:r>
        <w:rPr>
          <w:rFonts w:ascii="Tahoma" w:hAnsi="Tahoma" w:cs="Tahoma"/>
          <w:color w:val="000000"/>
          <w:sz w:val="18"/>
          <w:szCs w:val="18"/>
          <w:vertAlign w:val="subscript"/>
          <w:lang w:val="en-US"/>
        </w:rPr>
        <w:t>z</w:t>
      </w:r>
      <w:r>
        <w:rPr>
          <w:rFonts w:ascii="Tahoma" w:hAnsi="Tahoma" w:cs="Tahoma"/>
          <w:color w:val="000000"/>
          <w:sz w:val="18"/>
          <w:szCs w:val="18"/>
        </w:rPr>
        <w:t xml:space="preserve"> - цикл проведения зарядки за день. Принимаем </w:t>
      </w:r>
      <w:r>
        <w:rPr>
          <w:rFonts w:ascii="Tahoma" w:hAnsi="Tahoma" w:cs="Tahoma"/>
          <w:color w:val="000000"/>
          <w:sz w:val="18"/>
          <w:szCs w:val="18"/>
          <w:lang w:val="en-US"/>
        </w:rPr>
        <w:t>m</w:t>
      </w:r>
      <w:r>
        <w:rPr>
          <w:rFonts w:ascii="Tahoma" w:hAnsi="Tahoma" w:cs="Tahoma"/>
          <w:color w:val="000000"/>
          <w:sz w:val="18"/>
          <w:szCs w:val="18"/>
          <w:vertAlign w:val="subscript"/>
          <w:lang w:val="en-US"/>
        </w:rPr>
        <w:t>z</w:t>
      </w:r>
      <w:r>
        <w:rPr>
          <w:rFonts w:ascii="Tahoma" w:hAnsi="Tahoma" w:cs="Tahoma"/>
          <w:color w:val="000000"/>
          <w:sz w:val="18"/>
          <w:szCs w:val="18"/>
        </w:rPr>
        <w:t xml:space="preserve"> = 10 час.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Кроме того, при разборке и сборке аккумуляторных батарей используют битумную мастику, при разогреве которой выделяется аэрозоль масла. При отливке свинцовых клемм и межэлементных соединений выделяется свинец.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2.3 Валовый выброс масляного тумана и свинца определяется по формуле:</w:t>
      </w:r>
    </w:p>
    <w:p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position w:val="-12"/>
          <w:sz w:val="18"/>
          <w:szCs w:val="18"/>
        </w:rPr>
        <w:object>
          <v:shape id="_x0000_i1040" o:spt="75" type="#_x0000_t75" style="height:18.75pt;width:10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40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кг/год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i/>
          <w:color w:val="000000"/>
          <w:sz w:val="18"/>
          <w:szCs w:val="18"/>
          <w:lang w:val="en-US"/>
        </w:rPr>
        <w:t>m</w:t>
      </w:r>
      <w:r>
        <w:rPr>
          <w:rFonts w:ascii="Tahoma" w:hAnsi="Tahoma" w:cs="Tahoma"/>
          <w:i/>
          <w:color w:val="000000"/>
          <w:sz w:val="18"/>
          <w:szCs w:val="18"/>
          <w:vertAlign w:val="subscript"/>
          <w:lang w:val="en-US"/>
        </w:rPr>
        <w:t>i</w:t>
      </w:r>
      <w:r>
        <w:rPr>
          <w:rFonts w:ascii="Tahoma" w:hAnsi="Tahoma" w:cs="Tahoma"/>
          <w:color w:val="000000"/>
          <w:sz w:val="18"/>
          <w:szCs w:val="18"/>
        </w:rPr>
        <w:t xml:space="preserve"> - удельный выброс </w:t>
      </w:r>
      <w:r>
        <w:rPr>
          <w:rFonts w:ascii="Tahoma" w:hAnsi="Tahoma" w:cs="Tahoma"/>
          <w:color w:val="000000"/>
          <w:sz w:val="18"/>
          <w:szCs w:val="18"/>
          <w:lang w:val="en-US"/>
        </w:rPr>
        <w:t>i</w:t>
      </w:r>
      <w:r>
        <w:rPr>
          <w:rFonts w:ascii="Tahoma" w:hAnsi="Tahoma" w:cs="Tahoma"/>
          <w:color w:val="000000"/>
          <w:sz w:val="18"/>
          <w:szCs w:val="18"/>
        </w:rPr>
        <w:t>-го вещества на единицу площади зеркала тигля, г/см</w:t>
      </w:r>
      <w:r>
        <w:rPr>
          <w:rFonts w:ascii="Tahoma" w:hAnsi="Tahoma" w:cs="Tahoma"/>
          <w:color w:val="000000"/>
          <w:sz w:val="18"/>
          <w:szCs w:val="18"/>
          <w:vertAlign w:val="superscript"/>
        </w:rPr>
        <w:t>2</w:t>
      </w:r>
      <w:r>
        <w:rPr>
          <w:rFonts w:ascii="Tahoma" w:hAnsi="Tahoma" w:cs="Tahoma"/>
          <w:color w:val="000000"/>
          <w:sz w:val="18"/>
          <w:szCs w:val="18"/>
        </w:rPr>
        <w:t xml:space="preserve"> (табл. 2.1);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val="en-US"/>
        </w:rPr>
        <w:t>n</w:t>
      </w:r>
      <w:r>
        <w:rPr>
          <w:rFonts w:ascii="Tahoma" w:hAnsi="Tahoma" w:cs="Tahoma"/>
          <w:color w:val="000000"/>
          <w:sz w:val="18"/>
          <w:szCs w:val="18"/>
        </w:rPr>
        <w:t xml:space="preserve"> = 10 - количество разогревов тигля в год;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i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iCs/>
          <w:color w:val="000000"/>
          <w:sz w:val="18"/>
          <w:szCs w:val="18"/>
          <w:lang w:val="en-US"/>
        </w:rPr>
        <w:t>S</w:t>
      </w:r>
      <w:r>
        <w:rPr>
          <w:rFonts w:ascii="Tahoma" w:hAnsi="Tahoma" w:cs="Tahoma"/>
          <w:iCs/>
          <w:color w:val="000000"/>
          <w:sz w:val="18"/>
          <w:szCs w:val="18"/>
        </w:rPr>
        <w:t xml:space="preserve"> = 0,25 - </w:t>
      </w:r>
      <w:r>
        <w:rPr>
          <w:rFonts w:ascii="Tahoma" w:hAnsi="Tahoma" w:cs="Tahoma"/>
          <w:i/>
          <w:i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площадь зеркала тигля, в котором плавится свинец (битумная мастика), м</w:t>
      </w:r>
      <w:r>
        <w:rPr>
          <w:rFonts w:ascii="Tahoma" w:hAnsi="Tahoma" w:cs="Tahoma"/>
          <w:color w:val="000000"/>
          <w:sz w:val="18"/>
          <w:szCs w:val="18"/>
          <w:vertAlign w:val="superscript"/>
        </w:rPr>
        <w:t>2</w:t>
      </w:r>
      <w:r>
        <w:rPr>
          <w:rFonts w:ascii="Tahoma" w:hAnsi="Tahoma" w:cs="Tahoma"/>
          <w:color w:val="000000"/>
          <w:sz w:val="18"/>
          <w:szCs w:val="18"/>
        </w:rPr>
        <w:t>;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 </w:t>
      </w:r>
      <w:r>
        <w:rPr>
          <w:rFonts w:ascii="Tahoma" w:hAnsi="Tahoma" w:cs="Tahoma"/>
          <w:color w:val="000000"/>
          <w:sz w:val="18"/>
          <w:szCs w:val="18"/>
          <w:lang w:val="en-US"/>
        </w:rPr>
        <w:t>t</w:t>
      </w:r>
      <w:r>
        <w:rPr>
          <w:rFonts w:ascii="Tahoma" w:hAnsi="Tahoma" w:cs="Tahoma"/>
          <w:color w:val="000000"/>
          <w:sz w:val="18"/>
          <w:szCs w:val="18"/>
        </w:rPr>
        <w:t xml:space="preserve"> = 0,5 ч - время нахождения свинца (мастики) в расплавленном виде в тигле при одном разогреве.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2.4 Максимально разовый выброс свинца и масла рассчитывают по формуле:</w:t>
      </w:r>
    </w:p>
    <w:p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position w:val="-12"/>
          <w:sz w:val="18"/>
          <w:szCs w:val="18"/>
        </w:rPr>
        <w:object>
          <v:shape id="_x0000_i1041" o:spt="75" type="#_x0000_t75" style="height:18.75pt;width:56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42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, г/с</w:t>
      </w:r>
    </w:p>
    <w:p>
      <w:pPr>
        <w:shd w:val="clear" w:color="auto" w:fill="FFFFFF"/>
        <w:ind w:firstLine="426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 w:type="page"/>
      </w:r>
      <w:r>
        <w:rPr>
          <w:rFonts w:ascii="Tahoma" w:hAnsi="Tahoma" w:cs="Tahoma"/>
          <w:color w:val="000000"/>
          <w:sz w:val="18"/>
          <w:szCs w:val="18"/>
        </w:rPr>
        <w:t>Таблица 2.1</w:t>
      </w:r>
    </w:p>
    <w:p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Удельные показатели </w:t>
      </w:r>
      <w:r>
        <w:rPr>
          <w:rFonts w:ascii="Tahoma" w:hAnsi="Tahoma" w:cs="Tahoma"/>
          <w:i/>
          <w:color w:val="000000"/>
          <w:sz w:val="18"/>
          <w:szCs w:val="18"/>
          <w:lang w:val="en-US"/>
        </w:rPr>
        <w:t>m</w:t>
      </w:r>
      <w:r>
        <w:rPr>
          <w:rFonts w:ascii="Tahoma" w:hAnsi="Tahoma" w:cs="Tahoma"/>
          <w:i/>
          <w:color w:val="000000"/>
          <w:sz w:val="18"/>
          <w:szCs w:val="18"/>
          <w:vertAlign w:val="subscript"/>
          <w:lang w:val="en-US"/>
        </w:rPr>
        <w:t>i</w:t>
      </w:r>
      <w:r>
        <w:rPr>
          <w:rFonts w:ascii="Tahoma" w:hAnsi="Tahoma" w:cs="Tahoma"/>
          <w:color w:val="000000"/>
          <w:sz w:val="18"/>
          <w:szCs w:val="18"/>
        </w:rPr>
        <w:t xml:space="preserve"> выделения загрязняющих веществ при ремонте аккумуляторных батарей (на единицу площади зеркала тигля, г/с.м</w:t>
      </w:r>
      <w:r>
        <w:rPr>
          <w:rFonts w:ascii="Tahoma" w:hAnsi="Tahoma" w:cs="Tahoma"/>
          <w:color w:val="000000"/>
          <w:sz w:val="18"/>
          <w:szCs w:val="18"/>
          <w:vertAlign w:val="superscript"/>
        </w:rPr>
        <w:t>2</w:t>
      </w:r>
      <w:r>
        <w:rPr>
          <w:rFonts w:ascii="Tahoma" w:hAnsi="Tahoma" w:cs="Tahoma"/>
          <w:color w:val="000000"/>
          <w:sz w:val="18"/>
          <w:szCs w:val="18"/>
        </w:rPr>
        <w:t>)</w:t>
      </w:r>
    </w:p>
    <w:tbl>
      <w:tblPr>
        <w:tblStyle w:val="9"/>
        <w:tblW w:w="5760" w:type="dxa"/>
        <w:jc w:val="center"/>
        <w:tblInd w:w="2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540"/>
        <w:gridCol w:w="1440"/>
        <w:gridCol w:w="1080"/>
        <w:gridCol w:w="900"/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725" w:hRule="exact"/>
          <w:jc w:val="center"/>
        </w:trPr>
        <w:tc>
          <w:tcPr>
            <w:tcW w:w="540" w:type="dxa"/>
            <w:vMerge w:val="restart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ПНСГ</w:t>
            </w: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Наименование технологического процесса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Применяемые материалы</w:t>
            </w:r>
          </w:p>
        </w:tc>
        <w:tc>
          <w:tcPr>
            <w:tcW w:w="900" w:type="dxa"/>
            <w:vMerge w:val="restart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Температура,</w:t>
            </w:r>
          </w:p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°С</w:t>
            </w:r>
          </w:p>
        </w:tc>
        <w:tc>
          <w:tcPr>
            <w:tcW w:w="1800" w:type="dxa"/>
            <w:gridSpan w:val="2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Выделяемое </w:t>
            </w:r>
          </w:p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загрязняющее</w:t>
            </w:r>
          </w:p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вещество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85" w:hRule="exact"/>
          <w:jc w:val="center"/>
        </w:trPr>
        <w:tc>
          <w:tcPr>
            <w:tcW w:w="540" w:type="dxa"/>
            <w:vMerge w:val="continue"/>
          </w:tcPr>
          <w:p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FFFFF"/>
          </w:tcPr>
          <w:p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  <w:p>
            <w:pPr>
              <w:rPr>
                <w:rFonts w:ascii="Tahoma" w:hAnsi="Tahoma" w:cs="Tahoma"/>
                <w:sz w:val="16"/>
                <w:szCs w:val="16"/>
              </w:rPr>
            </w:pPr>
          </w:p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Удельные количества, г/с.м</w:t>
            </w:r>
            <w:r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1282" w:hRule="exact"/>
          <w:jc w:val="center"/>
        </w:trPr>
        <w:tc>
          <w:tcPr>
            <w:tcW w:w="54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1-13</w:t>
            </w:r>
          </w:p>
        </w:tc>
        <w:tc>
          <w:tcPr>
            <w:tcW w:w="144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Восстановление, отливка межэлементных перемычек и клеммных выводов</w:t>
            </w:r>
          </w:p>
        </w:tc>
        <w:tc>
          <w:tcPr>
            <w:tcW w:w="108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Расплав </w:t>
            </w:r>
          </w:p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свинца</w:t>
            </w:r>
          </w:p>
        </w:tc>
        <w:tc>
          <w:tcPr>
            <w:tcW w:w="90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300-500</w:t>
            </w:r>
          </w:p>
        </w:tc>
        <w:tc>
          <w:tcPr>
            <w:tcW w:w="90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свинец</w:t>
            </w:r>
          </w:p>
        </w:tc>
        <w:tc>
          <w:tcPr>
            <w:tcW w:w="90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1413" w:hRule="exact"/>
          <w:jc w:val="center"/>
        </w:trPr>
        <w:tc>
          <w:tcPr>
            <w:tcW w:w="54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14-25</w:t>
            </w:r>
          </w:p>
        </w:tc>
        <w:tc>
          <w:tcPr>
            <w:tcW w:w="144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Приготовление битумной мастики для ремонта корпусов аккумуляторов</w:t>
            </w:r>
          </w:p>
        </w:tc>
        <w:tc>
          <w:tcPr>
            <w:tcW w:w="108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Расплав </w:t>
            </w:r>
          </w:p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мастики</w:t>
            </w:r>
          </w:p>
        </w:tc>
        <w:tc>
          <w:tcPr>
            <w:tcW w:w="90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100-150</w:t>
            </w:r>
          </w:p>
        </w:tc>
        <w:tc>
          <w:tcPr>
            <w:tcW w:w="90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масло минеральное нефтяное (масляный туман)</w:t>
            </w:r>
          </w:p>
        </w:tc>
        <w:tc>
          <w:tcPr>
            <w:tcW w:w="900" w:type="dxa"/>
            <w:shd w:val="clear" w:color="auto" w:fill="FFFFFF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0,003</w:t>
            </w:r>
          </w:p>
        </w:tc>
      </w:tr>
    </w:tbl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Задача 3. </w:t>
      </w:r>
      <w:r>
        <w:rPr>
          <w:rFonts w:ascii="Tahoma" w:hAnsi="Tahoma" w:cs="Tahoma"/>
          <w:b/>
          <w:color w:val="000000"/>
          <w:sz w:val="18"/>
          <w:szCs w:val="18"/>
        </w:rPr>
        <w:t xml:space="preserve">Расчет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выбросов загрязняющих </w:t>
      </w:r>
      <w:r>
        <w:rPr>
          <w:rFonts w:ascii="Tahoma" w:hAnsi="Tahoma" w:cs="Tahoma"/>
          <w:b/>
          <w:color w:val="000000"/>
          <w:sz w:val="18"/>
          <w:szCs w:val="18"/>
        </w:rPr>
        <w:t xml:space="preserve">веществ от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сварки и резки металлов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 Цель работы: определение валовых и разовых выбросов при сварке и резке металлов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 Исходные данные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 1. Масса расходуемых электродов в год:</w:t>
      </w:r>
    </w:p>
    <w:p>
      <w:pPr>
        <w:numPr>
          <w:ilvl w:val="0"/>
          <w:numId w:val="4"/>
        </w:numPr>
        <w:shd w:val="clear" w:color="auto" w:fill="FFFFFF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для № ЗК </w:t>
      </w:r>
      <w:r>
        <w:rPr>
          <w:rFonts w:ascii="Tahoma" w:hAnsi="Tahoma" w:cs="Tahoma"/>
          <w:sz w:val="18"/>
          <w:szCs w:val="18"/>
        </w:rPr>
        <w:sym w:font="Symbol" w:char="F03E"/>
      </w:r>
      <w:r>
        <w:rPr>
          <w:rFonts w:ascii="Tahoma" w:hAnsi="Tahoma" w:cs="Tahoma"/>
          <w:sz w:val="18"/>
          <w:szCs w:val="18"/>
        </w:rPr>
        <w:t xml:space="preserve"> 50    В = 50№ ЗК кг/год;</w:t>
      </w:r>
    </w:p>
    <w:p>
      <w:pPr>
        <w:numPr>
          <w:ilvl w:val="0"/>
          <w:numId w:val="4"/>
        </w:numPr>
        <w:shd w:val="clear" w:color="auto" w:fill="FFFFFF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для № ЗК </w:t>
      </w:r>
      <w:r>
        <w:rPr>
          <w:rFonts w:ascii="Tahoma" w:hAnsi="Tahoma" w:cs="Tahoma"/>
          <w:sz w:val="18"/>
          <w:szCs w:val="18"/>
        </w:rPr>
        <w:sym w:font="Symbol" w:char="F03C"/>
      </w:r>
      <w:r>
        <w:rPr>
          <w:rFonts w:ascii="Tahoma" w:hAnsi="Tahoma" w:cs="Tahoma"/>
          <w:sz w:val="18"/>
          <w:szCs w:val="18"/>
        </w:rPr>
        <w:t>50     В = 1000+5№ ЗК кг/год.</w:t>
      </w:r>
    </w:p>
    <w:p>
      <w:pPr>
        <w:shd w:val="clear" w:color="auto" w:fill="FFFFFF"/>
        <w:ind w:left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 2. Количество дней работы участка в году:</w:t>
      </w:r>
    </w:p>
    <w:p>
      <w:pPr>
        <w:numPr>
          <w:ilvl w:val="0"/>
          <w:numId w:val="5"/>
        </w:numPr>
        <w:shd w:val="clear" w:color="auto" w:fill="FFFFFF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для № ЗК </w:t>
      </w:r>
      <w:r>
        <w:rPr>
          <w:rFonts w:ascii="Tahoma" w:hAnsi="Tahoma" w:cs="Tahoma"/>
          <w:sz w:val="18"/>
          <w:szCs w:val="18"/>
        </w:rPr>
        <w:sym w:font="Symbol" w:char="F03E"/>
      </w:r>
      <w:r>
        <w:rPr>
          <w:rFonts w:ascii="Tahoma" w:hAnsi="Tahoma" w:cs="Tahoma"/>
          <w:sz w:val="18"/>
          <w:szCs w:val="18"/>
        </w:rPr>
        <w:t xml:space="preserve"> 50     - 150 дней</w:t>
      </w:r>
    </w:p>
    <w:p>
      <w:pPr>
        <w:numPr>
          <w:ilvl w:val="0"/>
          <w:numId w:val="5"/>
        </w:numPr>
        <w:shd w:val="clear" w:color="auto" w:fill="FFFFFF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для № ЗК </w:t>
      </w:r>
      <w:r>
        <w:rPr>
          <w:rFonts w:ascii="Tahoma" w:hAnsi="Tahoma" w:cs="Tahoma"/>
          <w:sz w:val="18"/>
          <w:szCs w:val="18"/>
        </w:rPr>
        <w:sym w:font="Symbol" w:char="F03C"/>
      </w:r>
      <w:r>
        <w:rPr>
          <w:rFonts w:ascii="Tahoma" w:hAnsi="Tahoma" w:cs="Tahoma"/>
          <w:sz w:val="18"/>
          <w:szCs w:val="18"/>
        </w:rPr>
        <w:t xml:space="preserve">50      - 100 дней 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 Методика расчета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3.1 Валовый  выброс  загрязняющих веществ при  ручной  электродуговой  сварке определяется по формуле:</w:t>
      </w:r>
    </w:p>
    <w:p>
      <w:pPr>
        <w:shd w:val="clear" w:color="auto" w:fill="FFFFFF"/>
        <w:tabs>
          <w:tab w:val="left" w:pos="5911"/>
        </w:tabs>
        <w:ind w:firstLine="426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position w:val="-12"/>
          <w:sz w:val="18"/>
          <w:szCs w:val="18"/>
        </w:rPr>
        <w:object>
          <v:shape id="_x0000_i1042" o:spt="75" type="#_x0000_t75" style="height:18.75pt;width:86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44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кг/год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sz w:val="18"/>
          <w:szCs w:val="18"/>
          <w:lang w:val="en-US"/>
        </w:rPr>
        <w:t>gi</w:t>
      </w:r>
      <w:r>
        <w:rPr>
          <w:rFonts w:ascii="Tahoma" w:hAnsi="Tahoma" w:cs="Tahoma"/>
          <w:color w:val="000000"/>
          <w:sz w:val="18"/>
          <w:szCs w:val="18"/>
        </w:rPr>
        <w:t>- удельный показатель выделяемого загрязняющего вещества в г/кг сварочного материала (табл.3.1)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- масса расходуемых за год электродов, кг.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При газовой сварке стали ацетилено-кислородным пламенем выделяются оксиды азота в количестве 22 г на 1 кг ацетилена.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При газовой сварке стали с использованием пропан-бутановой смеси выделяются оксиды азота в количестве 15 г на 1 кг смеси. Расчет валового выброса загрязняющих веществ при газовой сварке ведется по той же формуле, что и для электродуговой сварки, только вместо массы расходуемых электродов берется масса расходуемого газа.</w:t>
      </w:r>
    </w:p>
    <w:p>
      <w:pPr>
        <w:shd w:val="clear" w:color="auto" w:fill="FFFFFF"/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3.2 Максимально разовый выброс при электродуговой сварке определяется по формуле:</w:t>
      </w:r>
    </w:p>
    <w:p>
      <w:pPr>
        <w:shd w:val="clear" w:color="auto" w:fill="FFFFFF"/>
        <w:tabs>
          <w:tab w:val="left" w:pos="5342"/>
        </w:tabs>
        <w:ind w:firstLine="425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position w:val="-24"/>
          <w:sz w:val="18"/>
          <w:szCs w:val="18"/>
        </w:rPr>
        <w:object>
          <v:shape id="_x0000_i1043" o:spt="75" type="#_x0000_t75" style="height:33pt;width:59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6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г/с</w:t>
      </w:r>
    </w:p>
    <w:p>
      <w:pPr>
        <w:shd w:val="clear" w:color="auto" w:fill="FFFFFF"/>
        <w:ind w:left="425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sz w:val="18"/>
          <w:szCs w:val="18"/>
          <w:lang w:val="en-US"/>
        </w:rPr>
        <w:t>b</w:t>
      </w:r>
      <w:r>
        <w:rPr>
          <w:rFonts w:ascii="Tahoma" w:hAnsi="Tahoma" w:cs="Tahoma"/>
          <w:color w:val="000000"/>
          <w:sz w:val="18"/>
          <w:szCs w:val="18"/>
        </w:rPr>
        <w:t>=10 кг - максимальное количество электродов (газа), расходуемого в течение рабочего дня, кг (м</w:t>
      </w:r>
      <w:r>
        <w:rPr>
          <w:rFonts w:ascii="Tahoma" w:hAnsi="Tahoma" w:cs="Tahoma"/>
          <w:color w:val="000000"/>
          <w:sz w:val="18"/>
          <w:szCs w:val="18"/>
          <w:vertAlign w:val="superscript"/>
        </w:rPr>
        <w:t>3</w:t>
      </w:r>
      <w:r>
        <w:rPr>
          <w:rFonts w:ascii="Tahoma" w:hAnsi="Tahoma" w:cs="Tahoma"/>
          <w:color w:val="000000"/>
          <w:sz w:val="18"/>
          <w:szCs w:val="18"/>
        </w:rPr>
        <w:t>);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val="en-US"/>
        </w:rPr>
        <w:t>t</w:t>
      </w:r>
      <w:r>
        <w:rPr>
          <w:rFonts w:ascii="Tahoma" w:hAnsi="Tahoma" w:cs="Tahoma"/>
          <w:color w:val="000000"/>
          <w:sz w:val="18"/>
          <w:szCs w:val="18"/>
        </w:rPr>
        <w:t xml:space="preserve"> =4 - время, затрачиваемое на сварку в течение рабочего дня, час.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Для определения количества загрязняющих веществ, выделяющихся при резке металла, используются удельные показатели (г/час), приведенные в табл</w:t>
      </w:r>
      <w:r>
        <w:rPr>
          <w:rFonts w:ascii="Tahoma" w:hAnsi="Tahoma" w:cs="Tahoma"/>
          <w:sz w:val="18"/>
          <w:szCs w:val="18"/>
        </w:rPr>
        <w:t>.1.2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3.3 Валовый выброс при газовой резке определяют по формуле (расчет производится для одного загрязняющего вещества, выбираемого студентом самостоятельно из табл. 1.1):</w:t>
      </w:r>
    </w:p>
    <w:p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position w:val="-14"/>
          <w:sz w:val="18"/>
          <w:szCs w:val="18"/>
        </w:rPr>
        <w:object>
          <v:shape id="_x0000_i1044" o:spt="75" type="#_x0000_t75" style="height:20.25pt;width:92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8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кг/год</w:t>
      </w:r>
    </w:p>
    <w:p>
      <w:pPr>
        <w:shd w:val="clear" w:color="auto" w:fill="FFFFFF"/>
        <w:ind w:left="360" w:hanging="36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где </w:t>
      </w:r>
      <w:r>
        <w:rPr>
          <w:rFonts w:ascii="Tahoma" w:hAnsi="Tahoma" w:cs="Tahoma"/>
          <w:color w:val="000000"/>
          <w:position w:val="-12"/>
          <w:sz w:val="18"/>
          <w:szCs w:val="18"/>
        </w:rPr>
        <w:object>
          <v:shape id="_x0000_i1045" o:spt="75" type="#_x0000_t75" style="height:18.75pt;width:17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5" DrawAspect="Content" ObjectID="_1468075744" r:id="rId50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-удельный выброс загрязняющих веществ в г/час (см.табл. 3.2). Загрязняющие вещества суммируются; </w:t>
      </w:r>
    </w:p>
    <w:p>
      <w:pPr>
        <w:shd w:val="clear" w:color="auto" w:fill="FFFFFF"/>
        <w:ind w:left="36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  <w:lang w:val="en-US"/>
        </w:rPr>
        <w:t>t</w:t>
      </w:r>
      <w:r>
        <w:rPr>
          <w:rFonts w:ascii="Tahoma" w:hAnsi="Tahoma" w:cs="Tahoma"/>
          <w:color w:val="000000"/>
          <w:sz w:val="18"/>
          <w:szCs w:val="18"/>
          <w:vertAlign w:val="subscript"/>
          <w:lang w:val="en-US"/>
        </w:rPr>
        <w:t>p</w:t>
      </w:r>
      <w:r>
        <w:rPr>
          <w:rFonts w:ascii="Tahoma" w:hAnsi="Tahoma" w:cs="Tahoma"/>
          <w:color w:val="000000"/>
          <w:sz w:val="18"/>
          <w:szCs w:val="18"/>
        </w:rPr>
        <w:t xml:space="preserve"> =3 - "чистое" время газовой резки металла в день, (час) </w:t>
      </w:r>
    </w:p>
    <w:p>
      <w:pPr>
        <w:shd w:val="clear" w:color="auto" w:fill="FFFFFF"/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  <w:lang w:val="en-US"/>
        </w:rPr>
        <w:t>n</w:t>
      </w:r>
      <w:r>
        <w:rPr>
          <w:rFonts w:ascii="Tahoma" w:hAnsi="Tahoma" w:cs="Tahoma"/>
          <w:color w:val="000000"/>
          <w:sz w:val="18"/>
          <w:szCs w:val="18"/>
        </w:rPr>
        <w:t>- количество дней работы участка в году (см.исходные данные).</w:t>
      </w:r>
    </w:p>
    <w:p>
      <w:pPr>
        <w:shd w:val="clear" w:color="auto" w:fill="FFFFFF"/>
        <w:ind w:firstLine="426"/>
        <w:jc w:val="right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 w:type="page"/>
      </w:r>
      <w:r>
        <w:rPr>
          <w:rFonts w:ascii="Tahoma" w:hAnsi="Tahoma" w:cs="Tahoma"/>
          <w:color w:val="000000"/>
          <w:sz w:val="18"/>
          <w:szCs w:val="18"/>
        </w:rPr>
        <w:t>Таблица 3.1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Удельные выделения загрязняющих веществ при электросварке (</w:t>
      </w:r>
      <w:r>
        <w:rPr>
          <w:rFonts w:ascii="Tahoma" w:hAnsi="Tahoma" w:cs="Tahoma"/>
          <w:color w:val="000000"/>
          <w:sz w:val="18"/>
          <w:szCs w:val="18"/>
          <w:lang w:val="en-US"/>
        </w:rPr>
        <w:t>g</w:t>
      </w:r>
      <w:r>
        <w:rPr>
          <w:rFonts w:ascii="Tahoma" w:hAnsi="Tahoma" w:cs="Tahoma"/>
          <w:color w:val="000000"/>
          <w:sz w:val="18"/>
          <w:szCs w:val="18"/>
          <w:vertAlign w:val="subscript"/>
          <w:lang w:val="en-US"/>
        </w:rPr>
        <w:t>j</w:t>
      </w:r>
      <w:r>
        <w:rPr>
          <w:rFonts w:ascii="Tahoma" w:hAnsi="Tahoma" w:cs="Tahoma"/>
          <w:color w:val="000000"/>
          <w:sz w:val="18"/>
          <w:szCs w:val="18"/>
          <w:vertAlign w:val="superscript"/>
          <w:lang w:val="en-US"/>
        </w:rPr>
        <w:t>c</w:t>
      </w:r>
      <w:r>
        <w:rPr>
          <w:rFonts w:ascii="Tahoma" w:hAnsi="Tahoma" w:cs="Tahoma"/>
          <w:color w:val="000000"/>
          <w:sz w:val="18"/>
          <w:szCs w:val="18"/>
        </w:rPr>
        <w:t>) кг (м</w:t>
      </w:r>
      <w:r>
        <w:rPr>
          <w:rFonts w:ascii="Tahoma" w:hAnsi="Tahoma" w:cs="Tahoma"/>
          <w:color w:val="000000"/>
          <w:sz w:val="18"/>
          <w:szCs w:val="18"/>
          <w:vertAlign w:val="superscript"/>
        </w:rPr>
        <w:t>3</w:t>
      </w:r>
      <w:r>
        <w:rPr>
          <w:rFonts w:ascii="Tahoma" w:hAnsi="Tahoma" w:cs="Tahoma"/>
          <w:color w:val="000000"/>
          <w:sz w:val="18"/>
          <w:szCs w:val="18"/>
        </w:rPr>
        <w:t>);</w:t>
      </w:r>
    </w:p>
    <w:tbl>
      <w:tblPr>
        <w:tblStyle w:val="9"/>
        <w:tblW w:w="63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134"/>
        <w:gridCol w:w="666"/>
        <w:gridCol w:w="681"/>
        <w:gridCol w:w="681"/>
        <w:gridCol w:w="681"/>
        <w:gridCol w:w="681"/>
        <w:gridCol w:w="681"/>
        <w:gridCol w:w="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restart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ПНСГ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Марка электродов</w:t>
            </w:r>
          </w:p>
        </w:tc>
        <w:tc>
          <w:tcPr>
            <w:tcW w:w="4752" w:type="dxa"/>
            <w:gridSpan w:val="7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Количество выделяющихся загрязняющих веществ (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g</w:t>
            </w:r>
            <w:r>
              <w:rPr>
                <w:rFonts w:ascii="Tahoma" w:hAnsi="Tahoma" w:cs="Tahoma"/>
                <w:color w:val="000000"/>
                <w:sz w:val="16"/>
                <w:szCs w:val="16"/>
                <w:vertAlign w:val="subscript"/>
                <w:lang w:val="en-US"/>
              </w:rPr>
              <w:t>j</w:t>
            </w:r>
            <w:r>
              <w:rPr>
                <w:rFonts w:ascii="Tahoma" w:hAnsi="Tahoma" w:cs="Tahoma"/>
                <w:color w:val="000000"/>
                <w:sz w:val="16"/>
                <w:szCs w:val="16"/>
                <w:vertAlign w:val="superscript"/>
                <w:lang w:val="en-US"/>
              </w:rPr>
              <w:t>c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) в г/кг израсходованных электродов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continue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09" w:type="dxa"/>
            <w:gridSpan w:val="4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Твердые частицы сварочного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аэрозоля</w:t>
            </w:r>
          </w:p>
        </w:tc>
        <w:tc>
          <w:tcPr>
            <w:tcW w:w="2043" w:type="dxa"/>
            <w:gridSpan w:val="3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Газообразные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468" w:type="dxa"/>
            <w:vMerge w:val="continue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66" w:type="dxa"/>
            <w:textDirection w:val="btL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Общее количество твердых частиц (пыли)</w:t>
            </w:r>
          </w:p>
        </w:tc>
        <w:tc>
          <w:tcPr>
            <w:tcW w:w="681" w:type="dxa"/>
            <w:textDirection w:val="btL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Марганец и его оксиды</w:t>
            </w:r>
          </w:p>
        </w:tc>
        <w:tc>
          <w:tcPr>
            <w:tcW w:w="681" w:type="dxa"/>
            <w:textDirection w:val="btL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Оксиды хрома</w:t>
            </w:r>
          </w:p>
        </w:tc>
        <w:tc>
          <w:tcPr>
            <w:tcW w:w="681" w:type="dxa"/>
            <w:textDirection w:val="btL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Фториды</w:t>
            </w:r>
          </w:p>
        </w:tc>
        <w:tc>
          <w:tcPr>
            <w:tcW w:w="681" w:type="dxa"/>
            <w:textDirection w:val="btL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Фтористый водород</w:t>
            </w:r>
          </w:p>
        </w:tc>
        <w:tc>
          <w:tcPr>
            <w:tcW w:w="681" w:type="dxa"/>
            <w:textDirection w:val="btL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Оксиды   азота</w:t>
            </w:r>
          </w:p>
        </w:tc>
        <w:tc>
          <w:tcPr>
            <w:tcW w:w="681" w:type="dxa"/>
            <w:textDirection w:val="btL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Оксид углерода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66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1-2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УОНИ-13/45</w:t>
            </w:r>
          </w:p>
        </w:tc>
        <w:tc>
          <w:tcPr>
            <w:tcW w:w="666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0,90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1,40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3,45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3-4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УОНИ-13/55</w:t>
            </w:r>
          </w:p>
        </w:tc>
        <w:tc>
          <w:tcPr>
            <w:tcW w:w="666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5-7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УОНИ-13/65</w:t>
            </w:r>
          </w:p>
        </w:tc>
        <w:tc>
          <w:tcPr>
            <w:tcW w:w="666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1,41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0,80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0,80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1,16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8-10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УОНИ-13/80</w:t>
            </w:r>
          </w:p>
        </w:tc>
        <w:tc>
          <w:tcPr>
            <w:tcW w:w="666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0,78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1,14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11-14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УОНИ-13/85</w:t>
            </w:r>
          </w:p>
        </w:tc>
        <w:tc>
          <w:tcPr>
            <w:tcW w:w="666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0,69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15-17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АНО-1</w:t>
            </w:r>
          </w:p>
        </w:tc>
        <w:tc>
          <w:tcPr>
            <w:tcW w:w="666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0,43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2,13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18-19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АНО-3</w:t>
            </w:r>
          </w:p>
        </w:tc>
        <w:tc>
          <w:tcPr>
            <w:tcW w:w="666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2,20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20-21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АНО-4</w:t>
            </w:r>
          </w:p>
        </w:tc>
        <w:tc>
          <w:tcPr>
            <w:tcW w:w="666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0,41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22-23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АНО-5</w:t>
            </w:r>
          </w:p>
        </w:tc>
        <w:tc>
          <w:tcPr>
            <w:tcW w:w="666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1,44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24-25</w:t>
            </w:r>
          </w:p>
        </w:tc>
        <w:tc>
          <w:tcPr>
            <w:tcW w:w="1134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АНО-6</w:t>
            </w:r>
          </w:p>
        </w:tc>
        <w:tc>
          <w:tcPr>
            <w:tcW w:w="666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1,54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</w:tbl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Примечание: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1). В таблице приведены усредненные данные по основным показателям, которые в зависимости от толщины электродов и режимов сварки могут корректироваться.</w:t>
      </w:r>
    </w:p>
    <w:p>
      <w:pPr>
        <w:shd w:val="clear" w:color="auto" w:fill="FFFFFF"/>
        <w:ind w:firstLine="426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Таблица 3.2</w:t>
      </w:r>
    </w:p>
    <w:p>
      <w:pPr>
        <w:shd w:val="clear" w:color="auto" w:fill="FFFFFF"/>
        <w:ind w:firstLine="426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Удельный выброс загрязняющих веществ, выделяющихся при резке металла.</w:t>
      </w:r>
    </w:p>
    <w:tbl>
      <w:tblPr>
        <w:tblStyle w:val="9"/>
        <w:tblW w:w="63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247"/>
        <w:gridCol w:w="831"/>
        <w:gridCol w:w="831"/>
        <w:gridCol w:w="691"/>
        <w:gridCol w:w="720"/>
        <w:gridCol w:w="720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40" w:type="dxa"/>
            <w:vMerge w:val="restart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ПНСГ</w:t>
            </w:r>
          </w:p>
        </w:tc>
        <w:tc>
          <w:tcPr>
            <w:tcW w:w="1247" w:type="dxa"/>
            <w:vMerge w:val="restart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Вид разрезаемого металла</w:t>
            </w:r>
          </w:p>
        </w:tc>
        <w:tc>
          <w:tcPr>
            <w:tcW w:w="831" w:type="dxa"/>
            <w:vMerge w:val="restart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Толщина разрезаемых листов, мм</w:t>
            </w:r>
          </w:p>
        </w:tc>
        <w:tc>
          <w:tcPr>
            <w:tcW w:w="3727" w:type="dxa"/>
            <w:gridSpan w:val="5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Выделение загрязняющих веществ(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g</w:t>
            </w:r>
            <w:r>
              <w:rPr>
                <w:rFonts w:ascii="Tahoma" w:hAnsi="Tahoma" w:cs="Tahoma"/>
                <w:color w:val="000000"/>
                <w:sz w:val="16"/>
                <w:szCs w:val="16"/>
                <w:vertAlign w:val="subscript"/>
                <w:lang w:val="en-US"/>
              </w:rPr>
              <w:t>j</w:t>
            </w:r>
            <w:r>
              <w:rPr>
                <w:rFonts w:ascii="Tahoma" w:hAnsi="Tahoma" w:cs="Tahoma"/>
                <w:color w:val="000000"/>
                <w:sz w:val="16"/>
                <w:szCs w:val="16"/>
                <w:vertAlign w:val="superscript"/>
                <w:lang w:val="en-US"/>
              </w:rPr>
              <w:t>c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) в г/час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continue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vMerge w:val="continue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vMerge w:val="continue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Сварочный аэрозоль, г/час</w:t>
            </w:r>
          </w:p>
        </w:tc>
        <w:tc>
          <w:tcPr>
            <w:tcW w:w="69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Окислы марганца</w:t>
            </w:r>
          </w:p>
        </w:tc>
        <w:tc>
          <w:tcPr>
            <w:tcW w:w="72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Окислы хрома</w:t>
            </w:r>
          </w:p>
        </w:tc>
        <w:tc>
          <w:tcPr>
            <w:tcW w:w="72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Оксид углерода</w:t>
            </w:r>
          </w:p>
        </w:tc>
        <w:tc>
          <w:tcPr>
            <w:tcW w:w="765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Оксиды азота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4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1-7</w:t>
            </w:r>
          </w:p>
        </w:tc>
        <w:tc>
          <w:tcPr>
            <w:tcW w:w="1247" w:type="dxa"/>
            <w:vMerge w:val="restart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Сталь углеродистая низколегированная</w:t>
            </w:r>
          </w:p>
        </w:tc>
        <w:tc>
          <w:tcPr>
            <w:tcW w:w="83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83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69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2,31</w:t>
            </w:r>
          </w:p>
        </w:tc>
        <w:tc>
          <w:tcPr>
            <w:tcW w:w="72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765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4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8-15</w:t>
            </w:r>
          </w:p>
        </w:tc>
        <w:tc>
          <w:tcPr>
            <w:tcW w:w="1247" w:type="dxa"/>
            <w:vMerge w:val="continue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3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131,0</w:t>
            </w:r>
          </w:p>
        </w:tc>
        <w:tc>
          <w:tcPr>
            <w:tcW w:w="69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3,79</w:t>
            </w:r>
          </w:p>
        </w:tc>
        <w:tc>
          <w:tcPr>
            <w:tcW w:w="72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64,3</w:t>
            </w:r>
          </w:p>
        </w:tc>
        <w:tc>
          <w:tcPr>
            <w:tcW w:w="765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4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16-23</w:t>
            </w:r>
          </w:p>
        </w:tc>
        <w:tc>
          <w:tcPr>
            <w:tcW w:w="1247" w:type="dxa"/>
            <w:vMerge w:val="restart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Сталь качественная, легированная</w:t>
            </w:r>
          </w:p>
        </w:tc>
        <w:tc>
          <w:tcPr>
            <w:tcW w:w="83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83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69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3,96</w:t>
            </w:r>
          </w:p>
        </w:tc>
        <w:tc>
          <w:tcPr>
            <w:tcW w:w="72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42,9</w:t>
            </w:r>
          </w:p>
        </w:tc>
        <w:tc>
          <w:tcPr>
            <w:tcW w:w="765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4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24-30</w:t>
            </w:r>
          </w:p>
        </w:tc>
        <w:tc>
          <w:tcPr>
            <w:tcW w:w="1247" w:type="dxa"/>
            <w:vMerge w:val="continue"/>
          </w:tcPr>
          <w:p>
            <w:pPr>
              <w:ind w:left="-113" w:right="-113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3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145,5</w:t>
            </w:r>
          </w:p>
        </w:tc>
        <w:tc>
          <w:tcPr>
            <w:tcW w:w="691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6,68</w:t>
            </w:r>
          </w:p>
        </w:tc>
        <w:tc>
          <w:tcPr>
            <w:tcW w:w="72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55,2</w:t>
            </w:r>
          </w:p>
        </w:tc>
        <w:tc>
          <w:tcPr>
            <w:tcW w:w="765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43,4</w:t>
            </w:r>
          </w:p>
        </w:tc>
      </w:tr>
    </w:tbl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3.4 Максимально разовый выброс при газовой резке определяется по формуле:</w:t>
      </w:r>
    </w:p>
    <w:p>
      <w:pPr>
        <w:shd w:val="clear" w:color="auto" w:fill="FFFFFF"/>
        <w:tabs>
          <w:tab w:val="left" w:pos="5584"/>
        </w:tabs>
        <w:ind w:firstLine="426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position w:val="-24"/>
          <w:sz w:val="18"/>
          <w:szCs w:val="18"/>
        </w:rPr>
        <w:object>
          <v:shape id="_x0000_i1046" o:spt="75" type="#_x0000_t75" style="height:33pt;width:50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52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г/с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Для подсчета общих валовых и максимально разовых выбросов от сварочного участка выбросы одинаковых загрязняющих веществ суммируются.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Литература: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>
      <w:pPr>
        <w:numPr>
          <w:ilvl w:val="0"/>
          <w:numId w:val="6"/>
        </w:numPr>
        <w:shd w:val="clear" w:color="auto" w:fill="FFFFFF"/>
        <w:tabs>
          <w:tab w:val="left" w:pos="540"/>
          <w:tab w:val="clear" w:pos="720"/>
        </w:tabs>
        <w:ind w:left="5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Луканин В.Н., Трофименко Ю.В. Промышленно-транспортная экология.- М.: Высшая школа, 2001.</w:t>
      </w:r>
      <w:r>
        <w:rPr>
          <w:rFonts w:ascii="Tahoma" w:hAnsi="Tahoma" w:cs="Tahoma"/>
          <w:sz w:val="18"/>
          <w:szCs w:val="18"/>
          <w:lang w:val="en-US"/>
        </w:rPr>
        <w:t xml:space="preserve"> </w:t>
      </w:r>
      <w:r>
        <w:rPr>
          <w:rFonts w:ascii="Tahoma" w:hAnsi="Tahoma" w:cs="Tahoma"/>
          <w:sz w:val="18"/>
          <w:szCs w:val="18"/>
        </w:rPr>
        <w:t>- 273 с.</w:t>
      </w:r>
    </w:p>
    <w:p>
      <w:pPr>
        <w:numPr>
          <w:ilvl w:val="0"/>
          <w:numId w:val="6"/>
        </w:numPr>
        <w:shd w:val="clear" w:color="auto" w:fill="FFFFFF"/>
        <w:tabs>
          <w:tab w:val="left" w:pos="540"/>
          <w:tab w:val="clear" w:pos="720"/>
        </w:tabs>
        <w:ind w:left="5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Сарбаев В.И. и др.Техническое обслуживание и ремонт автомобилей: механизация и экологическая безопасность производственных процессов. - Ростов-на-Дону: Феникс, 2004. - 448 с.</w:t>
      </w:r>
    </w:p>
    <w:p>
      <w:pPr>
        <w:numPr>
          <w:ilvl w:val="0"/>
          <w:numId w:val="6"/>
        </w:numPr>
        <w:shd w:val="clear" w:color="auto" w:fill="FFFFFF"/>
        <w:tabs>
          <w:tab w:val="left" w:pos="540"/>
          <w:tab w:val="clear" w:pos="720"/>
        </w:tabs>
        <w:ind w:left="5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Экологическая безопасность при эксплуатации и ремонте автомобилей. – Ростов-на-Дону: Феникс , 2004. - 373 с.</w:t>
      </w:r>
    </w:p>
    <w:p>
      <w:pPr>
        <w:numPr>
          <w:ilvl w:val="0"/>
          <w:numId w:val="6"/>
        </w:numPr>
        <w:shd w:val="clear" w:color="auto" w:fill="FFFFFF"/>
        <w:tabs>
          <w:tab w:val="left" w:pos="540"/>
          <w:tab w:val="clear" w:pos="720"/>
        </w:tabs>
        <w:ind w:left="5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Попова Е.Н. Экология транспорта. – М.: Высшая школа, 2006. - 273 с.</w:t>
      </w:r>
    </w:p>
    <w:p>
      <w:pPr>
        <w:numPr>
          <w:ilvl w:val="0"/>
          <w:numId w:val="6"/>
        </w:numPr>
        <w:shd w:val="clear" w:color="auto" w:fill="FFFFFF"/>
        <w:tabs>
          <w:tab w:val="left" w:pos="540"/>
          <w:tab w:val="clear" w:pos="720"/>
        </w:tabs>
        <w:ind w:left="5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Болбас М.М. Транспорт и окружающая среда. – Минск: УП «Технопринт», 2003. – 262 с.</w:t>
      </w:r>
    </w:p>
    <w:sectPr>
      <w:footerReference r:id="rId9" w:type="default"/>
      <w:footerReference r:id="rId10" w:type="even"/>
      <w:pgSz w:w="11909" w:h="16834"/>
      <w:pgMar w:top="1418" w:right="4820" w:bottom="6350" w:left="851" w:header="851" w:footer="5812" w:gutter="0"/>
      <w:pgNumType w:start="2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</w:p>
  <w:p>
    <w:pPr>
      <w:pStyle w:val="6"/>
      <w:ind w:right="360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705"/>
    <w:multiLevelType w:val="multilevel"/>
    <w:tmpl w:val="00FF5705"/>
    <w:lvl w:ilvl="0" w:tentative="0">
      <w:start w:val="1"/>
      <w:numFmt w:val="bullet"/>
      <w:lvlText w:val="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hint="default" w:ascii="Wingdings" w:hAnsi="Wingdings"/>
      </w:rPr>
    </w:lvl>
  </w:abstractNum>
  <w:abstractNum w:abstractNumId="1">
    <w:nsid w:val="01D62BB6"/>
    <w:multiLevelType w:val="multilevel"/>
    <w:tmpl w:val="01D62B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cs="Times New Roman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5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6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7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8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</w:abstractNum>
  <w:abstractNum w:abstractNumId="2">
    <w:nsid w:val="3C885B7C"/>
    <w:multiLevelType w:val="multilevel"/>
    <w:tmpl w:val="3C885B7C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0">
      <w:start w:val="10"/>
      <w:numFmt w:val="decimal"/>
      <w:lvlText w:val="%1.%2"/>
      <w:lvlJc w:val="left"/>
      <w:pPr>
        <w:tabs>
          <w:tab w:val="left" w:pos="720"/>
        </w:tabs>
        <w:ind w:left="720" w:hanging="360"/>
      </w:pPr>
      <w:rPr>
        <w:rFonts w:hint="default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40"/>
        </w:tabs>
        <w:ind w:left="1440" w:hanging="720"/>
      </w:pPr>
      <w:rPr>
        <w:rFonts w:hint="default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1800"/>
        </w:tabs>
        <w:ind w:left="1800" w:hanging="720"/>
      </w:pPr>
      <w:rPr>
        <w:rFonts w:hint="default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2160"/>
        </w:tabs>
        <w:ind w:left="2160" w:hanging="720"/>
      </w:pPr>
      <w:rPr>
        <w:rFonts w:hint="default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2880"/>
        </w:tabs>
        <w:ind w:left="2880" w:hanging="1080"/>
      </w:pPr>
      <w:rPr>
        <w:rFonts w:hint="default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3240"/>
        </w:tabs>
        <w:ind w:left="3240" w:hanging="1080"/>
      </w:pPr>
      <w:rPr>
        <w:rFonts w:hint="default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3960"/>
        </w:tabs>
        <w:ind w:left="3960" w:hanging="1440"/>
      </w:pPr>
      <w:rPr>
        <w:rFonts w:hint="default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320"/>
        </w:tabs>
        <w:ind w:left="4320" w:hanging="1440"/>
      </w:pPr>
      <w:rPr>
        <w:rFonts w:hint="default" w:cs="Times New Roman"/>
      </w:rPr>
    </w:lvl>
  </w:abstractNum>
  <w:abstractNum w:abstractNumId="3">
    <w:nsid w:val="4BE96EBA"/>
    <w:multiLevelType w:val="multilevel"/>
    <w:tmpl w:val="4BE96EBA"/>
    <w:lvl w:ilvl="0" w:tentative="0">
      <w:start w:val="1"/>
      <w:numFmt w:val="bullet"/>
      <w:lvlText w:val=""/>
      <w:lvlJc w:val="left"/>
      <w:pPr>
        <w:tabs>
          <w:tab w:val="left" w:pos="1146"/>
        </w:tabs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866"/>
        </w:tabs>
        <w:ind w:left="1866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586"/>
        </w:tabs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306"/>
        </w:tabs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026"/>
        </w:tabs>
        <w:ind w:left="4026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746"/>
        </w:tabs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66"/>
        </w:tabs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86"/>
        </w:tabs>
        <w:ind w:left="6186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906"/>
        </w:tabs>
        <w:ind w:left="6906" w:hanging="360"/>
      </w:pPr>
      <w:rPr>
        <w:rFonts w:hint="default" w:ascii="Wingdings" w:hAnsi="Wingdings"/>
      </w:rPr>
    </w:lvl>
  </w:abstractNum>
  <w:abstractNum w:abstractNumId="4">
    <w:nsid w:val="59780AF8"/>
    <w:multiLevelType w:val="multilevel"/>
    <w:tmpl w:val="59780AF8"/>
    <w:lvl w:ilvl="0" w:tentative="0">
      <w:start w:val="1"/>
      <w:numFmt w:val="bullet"/>
      <w:lvlText w:val=""/>
      <w:lvlJc w:val="left"/>
      <w:pPr>
        <w:tabs>
          <w:tab w:val="left" w:pos="1146"/>
        </w:tabs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866"/>
        </w:tabs>
        <w:ind w:left="1866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586"/>
        </w:tabs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306"/>
        </w:tabs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026"/>
        </w:tabs>
        <w:ind w:left="4026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746"/>
        </w:tabs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66"/>
        </w:tabs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86"/>
        </w:tabs>
        <w:ind w:left="6186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906"/>
        </w:tabs>
        <w:ind w:left="6906" w:hanging="360"/>
      </w:pPr>
      <w:rPr>
        <w:rFonts w:hint="default" w:ascii="Wingdings" w:hAnsi="Wingdings"/>
      </w:rPr>
    </w:lvl>
  </w:abstractNum>
  <w:abstractNum w:abstractNumId="5">
    <w:nsid w:val="5A5C31E2"/>
    <w:multiLevelType w:val="multilevel"/>
    <w:tmpl w:val="5A5C31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709"/>
  <w:autoHyphenation/>
  <w:hyphenationZone w:val="357"/>
  <w:characterSpacingControl w:val="doNotCompress"/>
  <w:footnotePr>
    <w:numRestart w:val="eachPage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ED3"/>
    <w:rsid w:val="0005269D"/>
    <w:rsid w:val="000561EE"/>
    <w:rsid w:val="000728E1"/>
    <w:rsid w:val="000903D0"/>
    <w:rsid w:val="000907EF"/>
    <w:rsid w:val="00093F60"/>
    <w:rsid w:val="00096A6B"/>
    <w:rsid w:val="000B0907"/>
    <w:rsid w:val="000B5DFA"/>
    <w:rsid w:val="000B78B6"/>
    <w:rsid w:val="000B7DCE"/>
    <w:rsid w:val="000C0ABC"/>
    <w:rsid w:val="000C114A"/>
    <w:rsid w:val="000C5BF8"/>
    <w:rsid w:val="000D13BB"/>
    <w:rsid w:val="000D4E77"/>
    <w:rsid w:val="000F221E"/>
    <w:rsid w:val="001027C7"/>
    <w:rsid w:val="00114F02"/>
    <w:rsid w:val="001305BB"/>
    <w:rsid w:val="00136C7D"/>
    <w:rsid w:val="001509C3"/>
    <w:rsid w:val="00153944"/>
    <w:rsid w:val="0017166B"/>
    <w:rsid w:val="0017186C"/>
    <w:rsid w:val="00177BA6"/>
    <w:rsid w:val="00197444"/>
    <w:rsid w:val="001B3600"/>
    <w:rsid w:val="001E206E"/>
    <w:rsid w:val="001E2E4B"/>
    <w:rsid w:val="001F1F04"/>
    <w:rsid w:val="001F46C4"/>
    <w:rsid w:val="00205E15"/>
    <w:rsid w:val="00207F0E"/>
    <w:rsid w:val="00221B3D"/>
    <w:rsid w:val="002232F7"/>
    <w:rsid w:val="00242EDB"/>
    <w:rsid w:val="00243A82"/>
    <w:rsid w:val="00245F27"/>
    <w:rsid w:val="00247705"/>
    <w:rsid w:val="00250107"/>
    <w:rsid w:val="00257D4C"/>
    <w:rsid w:val="002713D2"/>
    <w:rsid w:val="0028107B"/>
    <w:rsid w:val="002859D1"/>
    <w:rsid w:val="002B0160"/>
    <w:rsid w:val="002D0092"/>
    <w:rsid w:val="002F004C"/>
    <w:rsid w:val="00316AFF"/>
    <w:rsid w:val="00327D44"/>
    <w:rsid w:val="00355469"/>
    <w:rsid w:val="00361AB9"/>
    <w:rsid w:val="00377212"/>
    <w:rsid w:val="00380213"/>
    <w:rsid w:val="003815C8"/>
    <w:rsid w:val="00384DCE"/>
    <w:rsid w:val="003A5ED3"/>
    <w:rsid w:val="003A6253"/>
    <w:rsid w:val="003C2F8F"/>
    <w:rsid w:val="003D458A"/>
    <w:rsid w:val="00400449"/>
    <w:rsid w:val="00404870"/>
    <w:rsid w:val="00405794"/>
    <w:rsid w:val="0046006F"/>
    <w:rsid w:val="00461E3C"/>
    <w:rsid w:val="004629B4"/>
    <w:rsid w:val="00462C1F"/>
    <w:rsid w:val="00480E8D"/>
    <w:rsid w:val="00483AF1"/>
    <w:rsid w:val="004A5097"/>
    <w:rsid w:val="004B2B9C"/>
    <w:rsid w:val="004C08BF"/>
    <w:rsid w:val="004C155A"/>
    <w:rsid w:val="004C411E"/>
    <w:rsid w:val="004D1AAA"/>
    <w:rsid w:val="004D5CF2"/>
    <w:rsid w:val="004E4D43"/>
    <w:rsid w:val="0050467E"/>
    <w:rsid w:val="00504784"/>
    <w:rsid w:val="00517DAC"/>
    <w:rsid w:val="00522729"/>
    <w:rsid w:val="0053593F"/>
    <w:rsid w:val="00547DE4"/>
    <w:rsid w:val="00561216"/>
    <w:rsid w:val="00562AD2"/>
    <w:rsid w:val="005778E7"/>
    <w:rsid w:val="005928BC"/>
    <w:rsid w:val="0059684C"/>
    <w:rsid w:val="005A51EE"/>
    <w:rsid w:val="005A760E"/>
    <w:rsid w:val="005C658E"/>
    <w:rsid w:val="005E6774"/>
    <w:rsid w:val="005E6F6F"/>
    <w:rsid w:val="005F5199"/>
    <w:rsid w:val="006209AA"/>
    <w:rsid w:val="00622C7B"/>
    <w:rsid w:val="00625434"/>
    <w:rsid w:val="00636193"/>
    <w:rsid w:val="0064435D"/>
    <w:rsid w:val="00660BEB"/>
    <w:rsid w:val="006711EB"/>
    <w:rsid w:val="00690C34"/>
    <w:rsid w:val="00692BEA"/>
    <w:rsid w:val="00697F59"/>
    <w:rsid w:val="006A40D0"/>
    <w:rsid w:val="006C4951"/>
    <w:rsid w:val="006F59B3"/>
    <w:rsid w:val="00700C45"/>
    <w:rsid w:val="00725082"/>
    <w:rsid w:val="007362C0"/>
    <w:rsid w:val="0074305E"/>
    <w:rsid w:val="00743C03"/>
    <w:rsid w:val="0075476F"/>
    <w:rsid w:val="00764DF2"/>
    <w:rsid w:val="0077256E"/>
    <w:rsid w:val="0079342C"/>
    <w:rsid w:val="007A210B"/>
    <w:rsid w:val="007A310F"/>
    <w:rsid w:val="007C33F4"/>
    <w:rsid w:val="007C5345"/>
    <w:rsid w:val="007E4C55"/>
    <w:rsid w:val="007F6B19"/>
    <w:rsid w:val="0080660F"/>
    <w:rsid w:val="00806CEB"/>
    <w:rsid w:val="008132E3"/>
    <w:rsid w:val="0082222D"/>
    <w:rsid w:val="00825C8C"/>
    <w:rsid w:val="0083584B"/>
    <w:rsid w:val="00843C5F"/>
    <w:rsid w:val="00874438"/>
    <w:rsid w:val="008756B8"/>
    <w:rsid w:val="00892E1F"/>
    <w:rsid w:val="008A1FE9"/>
    <w:rsid w:val="008A6ACB"/>
    <w:rsid w:val="008B0B60"/>
    <w:rsid w:val="008B26A0"/>
    <w:rsid w:val="008B5026"/>
    <w:rsid w:val="008C166F"/>
    <w:rsid w:val="008C24C5"/>
    <w:rsid w:val="008D6BF3"/>
    <w:rsid w:val="008D7BC4"/>
    <w:rsid w:val="008E50F2"/>
    <w:rsid w:val="00901D28"/>
    <w:rsid w:val="009132B3"/>
    <w:rsid w:val="009209FA"/>
    <w:rsid w:val="00935A04"/>
    <w:rsid w:val="009429C5"/>
    <w:rsid w:val="00944103"/>
    <w:rsid w:val="00952831"/>
    <w:rsid w:val="0095741D"/>
    <w:rsid w:val="00981D02"/>
    <w:rsid w:val="009D4657"/>
    <w:rsid w:val="009E2599"/>
    <w:rsid w:val="00A016CF"/>
    <w:rsid w:val="00A07E4F"/>
    <w:rsid w:val="00A21874"/>
    <w:rsid w:val="00A2391B"/>
    <w:rsid w:val="00A4657F"/>
    <w:rsid w:val="00A46AF1"/>
    <w:rsid w:val="00A543D4"/>
    <w:rsid w:val="00A73781"/>
    <w:rsid w:val="00A81A1C"/>
    <w:rsid w:val="00AA3A41"/>
    <w:rsid w:val="00AB344E"/>
    <w:rsid w:val="00AF1640"/>
    <w:rsid w:val="00AF29FF"/>
    <w:rsid w:val="00B053FB"/>
    <w:rsid w:val="00B054F7"/>
    <w:rsid w:val="00B135B3"/>
    <w:rsid w:val="00B22661"/>
    <w:rsid w:val="00B327F2"/>
    <w:rsid w:val="00B42886"/>
    <w:rsid w:val="00B709DD"/>
    <w:rsid w:val="00B70DCF"/>
    <w:rsid w:val="00B86491"/>
    <w:rsid w:val="00BE0CBF"/>
    <w:rsid w:val="00C04BA0"/>
    <w:rsid w:val="00C13519"/>
    <w:rsid w:val="00C36EAA"/>
    <w:rsid w:val="00C556FD"/>
    <w:rsid w:val="00C6444A"/>
    <w:rsid w:val="00C663F1"/>
    <w:rsid w:val="00C724EF"/>
    <w:rsid w:val="00C73928"/>
    <w:rsid w:val="00C83836"/>
    <w:rsid w:val="00C85403"/>
    <w:rsid w:val="00CA6859"/>
    <w:rsid w:val="00CC29DE"/>
    <w:rsid w:val="00CC47BC"/>
    <w:rsid w:val="00CD5701"/>
    <w:rsid w:val="00CE0708"/>
    <w:rsid w:val="00CE57AC"/>
    <w:rsid w:val="00CE7ADA"/>
    <w:rsid w:val="00CF4B91"/>
    <w:rsid w:val="00D0239C"/>
    <w:rsid w:val="00D25D84"/>
    <w:rsid w:val="00D37E90"/>
    <w:rsid w:val="00D63DD4"/>
    <w:rsid w:val="00D64AD2"/>
    <w:rsid w:val="00D71E74"/>
    <w:rsid w:val="00D72563"/>
    <w:rsid w:val="00D83D0A"/>
    <w:rsid w:val="00D923C4"/>
    <w:rsid w:val="00D94B26"/>
    <w:rsid w:val="00DC1601"/>
    <w:rsid w:val="00DC3D15"/>
    <w:rsid w:val="00DC41F6"/>
    <w:rsid w:val="00DC7E68"/>
    <w:rsid w:val="00DD4BBF"/>
    <w:rsid w:val="00DD51C4"/>
    <w:rsid w:val="00DE2A91"/>
    <w:rsid w:val="00DE6AE6"/>
    <w:rsid w:val="00DF4B9D"/>
    <w:rsid w:val="00E13FB1"/>
    <w:rsid w:val="00E16097"/>
    <w:rsid w:val="00E24F02"/>
    <w:rsid w:val="00E43076"/>
    <w:rsid w:val="00E46C11"/>
    <w:rsid w:val="00E75548"/>
    <w:rsid w:val="00E82971"/>
    <w:rsid w:val="00E943DE"/>
    <w:rsid w:val="00EA2FCD"/>
    <w:rsid w:val="00EB0640"/>
    <w:rsid w:val="00EC12D4"/>
    <w:rsid w:val="00EC23EC"/>
    <w:rsid w:val="00F00E1A"/>
    <w:rsid w:val="00F144F1"/>
    <w:rsid w:val="00F4078F"/>
    <w:rsid w:val="00F46523"/>
    <w:rsid w:val="00F46B43"/>
    <w:rsid w:val="00F472FE"/>
    <w:rsid w:val="00F47D86"/>
    <w:rsid w:val="00F5336E"/>
    <w:rsid w:val="00F6592B"/>
    <w:rsid w:val="00F813E5"/>
    <w:rsid w:val="00F84F41"/>
    <w:rsid w:val="00F8673E"/>
    <w:rsid w:val="00F918EC"/>
    <w:rsid w:val="00F95225"/>
    <w:rsid w:val="00FA3B08"/>
    <w:rsid w:val="00FA5785"/>
    <w:rsid w:val="00FB18F6"/>
    <w:rsid w:val="00FE0BCF"/>
    <w:rsid w:val="00FE7B5E"/>
    <w:rsid w:val="00FF0E8D"/>
    <w:rsid w:val="00FF3BEB"/>
    <w:rsid w:val="4579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widowControl w:val="0"/>
      <w:shd w:val="clear" w:color="auto" w:fill="FFFFFF"/>
      <w:autoSpaceDE w:val="0"/>
      <w:ind w:left="24" w:right="5" w:firstLine="211"/>
      <w:jc w:val="center"/>
      <w:outlineLvl w:val="0"/>
    </w:pPr>
    <w:rPr>
      <w:rFonts w:ascii="Tahoma" w:hAnsi="Tahoma" w:cs="Tahoma"/>
      <w:b/>
      <w:bCs/>
      <w:sz w:val="20"/>
      <w:lang w:eastAsia="ar-SA"/>
    </w:rPr>
  </w:style>
  <w:style w:type="paragraph" w:styleId="3">
    <w:name w:val="heading 3"/>
    <w:basedOn w:val="1"/>
    <w:next w:val="1"/>
    <w:link w:val="12"/>
    <w:qFormat/>
    <w:uiPriority w:val="99"/>
    <w:pPr>
      <w:keepNext/>
      <w:widowControl w:val="0"/>
      <w:shd w:val="clear" w:color="auto" w:fill="FFFFFF"/>
      <w:autoSpaceDE w:val="0"/>
      <w:ind w:left="19" w:right="19" w:firstLine="206"/>
      <w:jc w:val="center"/>
      <w:outlineLvl w:val="2"/>
    </w:pPr>
    <w:rPr>
      <w:rFonts w:ascii="Tahoma" w:hAnsi="Tahoma" w:cs="Tahoma"/>
      <w:b/>
      <w:bCs/>
      <w:sz w:val="20"/>
      <w:lang w:eastAsia="ar-SA"/>
    </w:rPr>
  </w:style>
  <w:style w:type="character" w:default="1" w:styleId="7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4"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15"/>
    <w:qFormat/>
    <w:uiPriority w:val="99"/>
    <w:pPr>
      <w:jc w:val="center"/>
    </w:pPr>
    <w:rPr>
      <w:lang w:eastAsia="ar-SA"/>
    </w:rPr>
  </w:style>
  <w:style w:type="paragraph" w:styleId="6">
    <w:name w:val="footer"/>
    <w:basedOn w:val="1"/>
    <w:link w:val="13"/>
    <w:uiPriority w:val="99"/>
    <w:pPr>
      <w:tabs>
        <w:tab w:val="center" w:pos="4677"/>
        <w:tab w:val="right" w:pos="9355"/>
      </w:tabs>
    </w:pPr>
  </w:style>
  <w:style w:type="character" w:styleId="8">
    <w:name w:val="page number"/>
    <w:basedOn w:val="7"/>
    <w:uiPriority w:val="99"/>
    <w:rPr>
      <w:rFonts w:cs="Times New Roman"/>
    </w:rPr>
  </w:style>
  <w:style w:type="table" w:styleId="10">
    <w:name w:val="Table Grid"/>
    <w:basedOn w:val="9"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Heading 1 Char"/>
    <w:basedOn w:val="7"/>
    <w:link w:val="2"/>
    <w:locked/>
    <w:uiPriority w:val="99"/>
    <w:rPr>
      <w:rFonts w:ascii="Tahoma" w:hAnsi="Tahoma" w:cs="Tahoma"/>
      <w:b/>
      <w:bCs/>
      <w:sz w:val="24"/>
      <w:szCs w:val="24"/>
      <w:shd w:val="clear" w:color="auto" w:fill="FFFFFF"/>
      <w:lang w:eastAsia="ar-SA" w:bidi="ar-SA"/>
    </w:rPr>
  </w:style>
  <w:style w:type="character" w:customStyle="1" w:styleId="12">
    <w:name w:val="Heading 3 Char"/>
    <w:basedOn w:val="7"/>
    <w:link w:val="3"/>
    <w:locked/>
    <w:uiPriority w:val="99"/>
    <w:rPr>
      <w:rFonts w:ascii="Tahoma" w:hAnsi="Tahoma" w:cs="Tahoma"/>
      <w:b/>
      <w:bCs/>
      <w:sz w:val="24"/>
      <w:szCs w:val="24"/>
      <w:shd w:val="clear" w:color="auto" w:fill="FFFFFF"/>
      <w:lang w:eastAsia="ar-SA" w:bidi="ar-SA"/>
    </w:rPr>
  </w:style>
  <w:style w:type="character" w:customStyle="1" w:styleId="13">
    <w:name w:val="Footer Char"/>
    <w:basedOn w:val="7"/>
    <w:link w:val="6"/>
    <w:locked/>
    <w:uiPriority w:val="99"/>
    <w:rPr>
      <w:rFonts w:cs="Times New Roman"/>
      <w:sz w:val="24"/>
      <w:szCs w:val="24"/>
    </w:rPr>
  </w:style>
  <w:style w:type="character" w:customStyle="1" w:styleId="14">
    <w:name w:val="Header Char"/>
    <w:basedOn w:val="7"/>
    <w:link w:val="4"/>
    <w:locked/>
    <w:uiPriority w:val="99"/>
    <w:rPr>
      <w:rFonts w:cs="Times New Roman"/>
      <w:sz w:val="24"/>
      <w:szCs w:val="24"/>
    </w:rPr>
  </w:style>
  <w:style w:type="character" w:customStyle="1" w:styleId="15">
    <w:name w:val="Body Text Char"/>
    <w:basedOn w:val="7"/>
    <w:link w:val="5"/>
    <w:locked/>
    <w:uiPriority w:val="99"/>
    <w:rPr>
      <w:rFonts w:cs="Times New Roman"/>
      <w:sz w:val="24"/>
      <w:szCs w:val="24"/>
      <w:lang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21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19.wmf"/><Relationship Id="rId48" Type="http://schemas.openxmlformats.org/officeDocument/2006/relationships/oleObject" Target="embeddings/oleObject19.bin"/><Relationship Id="rId47" Type="http://schemas.openxmlformats.org/officeDocument/2006/relationships/image" Target="media/image18.wmf"/><Relationship Id="rId46" Type="http://schemas.openxmlformats.org/officeDocument/2006/relationships/oleObject" Target="embeddings/oleObject18.bin"/><Relationship Id="rId45" Type="http://schemas.openxmlformats.org/officeDocument/2006/relationships/image" Target="media/image17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6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5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4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3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1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9.wmf"/><Relationship Id="rId28" Type="http://schemas.openxmlformats.org/officeDocument/2006/relationships/oleObject" Target="embeddings/oleObject9.bin"/><Relationship Id="rId27" Type="http://schemas.openxmlformats.org/officeDocument/2006/relationships/image" Target="media/image8.wmf"/><Relationship Id="rId26" Type="http://schemas.openxmlformats.org/officeDocument/2006/relationships/oleObject" Target="embeddings/oleObject8.bin"/><Relationship Id="rId25" Type="http://schemas.openxmlformats.org/officeDocument/2006/relationships/image" Target="media/image7.wmf"/><Relationship Id="rId24" Type="http://schemas.openxmlformats.org/officeDocument/2006/relationships/oleObject" Target="embeddings/oleObject7.bin"/><Relationship Id="rId23" Type="http://schemas.openxmlformats.org/officeDocument/2006/relationships/oleObject" Target="embeddings/oleObject6.bin"/><Relationship Id="rId22" Type="http://schemas.openxmlformats.org/officeDocument/2006/relationships/image" Target="media/image6.wmf"/><Relationship Id="rId21" Type="http://schemas.openxmlformats.org/officeDocument/2006/relationships/oleObject" Target="embeddings/oleObject5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4.wmf"/><Relationship Id="rId17" Type="http://schemas.openxmlformats.org/officeDocument/2006/relationships/oleObject" Target="embeddings/oleObject3.bin"/><Relationship Id="rId16" Type="http://schemas.openxmlformats.org/officeDocument/2006/relationships/image" Target="media/image3.wmf"/><Relationship Id="rId15" Type="http://schemas.openxmlformats.org/officeDocument/2006/relationships/oleObject" Target="embeddings/oleObject2.bin"/><Relationship Id="rId14" Type="http://schemas.openxmlformats.org/officeDocument/2006/relationships/image" Target="media/image2.wmf"/><Relationship Id="rId13" Type="http://schemas.openxmlformats.org/officeDocument/2006/relationships/oleObject" Target="embeddings/oleObject1.bin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******</Company>
  <Pages>12</Pages>
  <Words>2218</Words>
  <Characters>12647</Characters>
  <Lines>0</Lines>
  <Paragraphs>0</Paragraphs>
  <TotalTime>6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2016-10-23T18:58:00Z</dcterms:created>
  <dc:creator>***</dc:creator>
  <cp:lastModifiedBy>Kingsoft Corporation</cp:lastModifiedBy>
  <dcterms:modified xsi:type="dcterms:W3CDTF">2022-12-30T09:19:01Z</dcterms:modified>
  <dc:title>ФЕДЕРАЛЬНОЕ АГЕНТСТВО ПО ОБРАЗОВАНИЮ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